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6684" w14:textId="6a46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аумағына салық салу мақсаты үшін аймақтандыру сызбасын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2015 жылғы 22 желтоқсандағы XLVII сессиясының № 47/366 шешімі. Қарағанды облысының Әділет департаментінде 2016 жылғы 20 қаңтарда № 3625 болып тіркелді. Күші жойылды - Қарағанды облысы Приозерск қалалық мәслихатының 2020 жылғы 24 маусымдағы № 39/400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24.06.2020 № 39/400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"Қазақстан Республикасының Жер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381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383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автотұрақтарға (паркингтерге), автомобильге май құю станциаларына бөлінген (бөліп шығарылған) жерлерді қоспағанда, жер салығының төмендету немесе жоғарылату ставкаларымен Приозерск қаласының аумағын салық салу мақсаты үшін аймақтандыру сызбасы қосымшаға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Приозерск қалалық мәслихатының 2004 жылғы 20 ақпандағы № 25/5 "Жер салығының базалық ставкаларына түзету (жоғарылату немесе төмендету) коэффициенттерін бекіту туралы" (нормативтік құқықтық актілерді мемлекеттік тіркеу Тізілімінде 2004 жылы 23 наурызда № 1443 болып тіркелген, 2004 жылғы 28 сәуірдегі № 37 (10828) "Балхаш өнірі" газетінде жарияланды) шешімнің күші жойылды деп танылсын.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Приозерск қалалық мәслихатының 20.02.2004 № 25/5 шешімі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күннен бастап он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"Приозерск қаласының жер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қатынастары,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құрлысы бөлімі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Бұқпантаев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22 желтоқсандағы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