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fd38" w14:textId="401f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Ойыл ауданының бюджеті туралы" 2014 жылғы 24 желтоқсандағы № 202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2015 жылғы 6 тамыздағы № 249 шешімі. Ақтөбе облысының Әділет департаментінде 2015 жылғы 19 тамызда № 4474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24 желтоқсандағы № 202 "2015-2017 жылдарға арналған Ойыл ауданының бюджеті туралы" (нормативтік құқықтық актілерді мемлекеттік тіркеу тізілімінде № 4176 нөмірімен тіркелген, 2015 жылғы 29 қаңтарда және 5, 12 ақпанда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"2 498 322" деген сандар "2 498 852,6" деген сандармен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"2 238 722" деген сандар "2 239 252,6" деген сандармен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"2 511 829,2" деген сандар "2 512 359,8" деген сандармен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w:t>
      </w:r>
      <w:r>
        <w:br/>
      </w:r>
      <w:r>
        <w:rPr>
          <w:rFonts w:ascii="Times New Roman"/>
          <w:b w:val="false"/>
          <w:i w:val="false"/>
          <w:color w:val="000000"/>
          <w:sz w:val="28"/>
        </w:rPr>
        <w:t>
      "-37 806,2" деген сандар "-31 860,2" деген сандармен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"37 806,2" деген сандар "31 860,2"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"64 507" деген сандар "67 507" деген сандармен ауыстырылсын;</w:t>
      </w:r>
      <w:r>
        <w:br/>
      </w:r>
      <w:r>
        <w:rPr>
          <w:rFonts w:ascii="Times New Roman"/>
          <w:b w:val="false"/>
          <w:i w:val="false"/>
          <w:color w:val="000000"/>
          <w:sz w:val="28"/>
        </w:rPr>
        <w:t>
      он бірінші абзацта:</w:t>
      </w:r>
      <w:r>
        <w:br/>
      </w:r>
      <w:r>
        <w:rPr>
          <w:rFonts w:ascii="Times New Roman"/>
          <w:b w:val="false"/>
          <w:i w:val="false"/>
          <w:color w:val="000000"/>
          <w:sz w:val="28"/>
        </w:rPr>
        <w:t>
      "6 262" деген сандар "3 792,6"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6 тамыздағы № 249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1 қосымша</w:t>
            </w:r>
          </w:p>
        </w:tc>
      </w:tr>
    </w:tbl>
    <w:p>
      <w:pPr>
        <w:spacing w:after="0"/>
        <w:ind w:left="0"/>
        <w:jc w:val="left"/>
      </w:pPr>
      <w:r>
        <w:rPr>
          <w:rFonts w:ascii="Times New Roman"/>
          <w:b/>
          <w:i w:val="false"/>
          <w:color w:val="000000"/>
        </w:rPr>
        <w:t xml:space="preserve"> 2015 жылға арналған Ойыл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264"/>
        <w:gridCol w:w="815"/>
        <w:gridCol w:w="5388"/>
        <w:gridCol w:w="4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2498852,6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233556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6394</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15711</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10333</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2239252,6</w:t>
            </w:r>
            <w:r>
              <w:br/>
            </w:r>
            <w:r>
              <w:rPr>
                <w:rFonts w:ascii="Times New Roman"/>
                <w:b/>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2239252,6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2239252,6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310057,6</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1929195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514"/>
        <w:gridCol w:w="28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2512359,8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1789524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1555671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13552,2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6 тамыздағы № 249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24 желтоқсандағы № 202 шешіміне № 5 қосымша</w:t>
            </w:r>
          </w:p>
        </w:tc>
      </w:tr>
    </w:tbl>
    <w:p>
      <w:pPr>
        <w:spacing w:after="0"/>
        <w:ind w:left="0"/>
        <w:jc w:val="left"/>
      </w:pPr>
      <w:r>
        <w:rPr>
          <w:rFonts w:ascii="Times New Roman"/>
          <w:b/>
          <w:i w:val="false"/>
          <w:color w:val="000000"/>
        </w:rPr>
        <w:t xml:space="preserve"> Ауылдық округтер әкімдері аппараттарының 2015 жылға бюджеттік бағдарламалары бойынша 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6251"/>
        <w:gridCol w:w="3008"/>
        <w:gridCol w:w="207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w:t>
            </w:r>
            <w:r>
              <w:br/>
            </w: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9360</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27117</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11276</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9982</w:t>
            </w: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6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93425</w:t>
            </w:r>
            <w:r>
              <w:br/>
            </w:r>
            <w:r>
              <w:rPr>
                <w:rFonts w:ascii="Times New Roman"/>
                <w:b/>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10117</w:t>
            </w:r>
            <w:r>
              <w:br/>
            </w:r>
            <w:r>
              <w:rPr>
                <w:rFonts w:ascii="Times New Roman"/>
                <w:b/>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888</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076"/>
        <w:gridCol w:w="2456"/>
        <w:gridCol w:w="4047"/>
        <w:gridCol w:w="1978"/>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Қараой ауылдық округі </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 ауылдық округі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13522</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Ойыл ауылдық округі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Ш.Берсиев атындағы ауылдық округі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Саралжын ауылдық округі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Сарбие ауылдық округі</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10977</w:t>
            </w: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12811</w:t>
            </w:r>
            <w:r>
              <w:br/>
            </w:r>
            <w:r>
              <w:rPr>
                <w:rFonts w:ascii="Times New Roman"/>
                <w:b/>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9086</w:t>
            </w:r>
            <w:r>
              <w:br/>
            </w:r>
            <w:r>
              <w:rPr>
                <w:rFonts w:ascii="Times New Roman"/>
                <w:b/>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126327</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