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8e07" w14:textId="02c8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Алға ауданының бюджеті туралы" 2014 жылғы 24 желтоқсандағы № 176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12 наурыздағы № 193 шешімі. Ақтөбе облысының Әділет департаментінде 2015 жылғы 27 наурызда № 4259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"2015-2017 жылдарға арналған Алға ауданының бюджеті туралы" (Нормативтік құқықтық актілерді мемлекеттік тіркеу тізілімінде №4165 тіркелген, 2015 жылғы 27 қаңтарда аудандық "Жұлдыз-Звезда" газетінің №4-5 жарияланған) 2014 жылғы 24 желтоқсандағы №176 </w:t>
      </w:r>
      <w:r>
        <w:rPr>
          <w:rFonts w:ascii="Times New Roman"/>
          <w:b w:val="false"/>
          <w:i w:val="false"/>
          <w:color w:val="000000"/>
          <w:sz w:val="28"/>
        </w:rPr>
        <w:t>шешіміне</w:t>
      </w:r>
      <w:r>
        <w:rPr>
          <w:rFonts w:ascii="Times New Roman"/>
          <w:b w:val="false"/>
          <w:i w:val="false"/>
          <w:color w:val="000000"/>
          <w:sz w:val="28"/>
        </w:rPr>
        <w:t xml:space="preserve"> мынадай өзерістер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1 тармақшасында:</w:t>
      </w:r>
      <w:r>
        <w:br/>
      </w:r>
      <w:r>
        <w:rPr>
          <w:rFonts w:ascii="Times New Roman"/>
          <w:b w:val="false"/>
          <w:i w:val="false"/>
          <w:color w:val="000000"/>
          <w:sz w:val="28"/>
        </w:rPr>
        <w:t>
      кірістер</w:t>
      </w:r>
      <w:r>
        <w:br/>
      </w:r>
      <w:r>
        <w:rPr>
          <w:rFonts w:ascii="Times New Roman"/>
          <w:b w:val="false"/>
          <w:i w:val="false"/>
          <w:color w:val="000000"/>
          <w:sz w:val="28"/>
        </w:rPr>
        <w:t>
      "5 098 650" деген сандары "4 814 502,5"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"3 460 825" деген сандары "3 176 677,5"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"5 098 650" деген сандары "4 868 654,2" сандарымен ауыстырылсын ;</w:t>
      </w:r>
      <w:r>
        <w:br/>
      </w:r>
      <w:r>
        <w:rPr>
          <w:rFonts w:ascii="Times New Roman"/>
          <w:b w:val="false"/>
          <w:i w:val="false"/>
          <w:color w:val="000000"/>
          <w:sz w:val="28"/>
        </w:rPr>
        <w:t>
      5) тармақшасында:</w:t>
      </w:r>
      <w:r>
        <w:br/>
      </w:r>
      <w:r>
        <w:rPr>
          <w:rFonts w:ascii="Times New Roman"/>
          <w:b w:val="false"/>
          <w:i w:val="false"/>
          <w:color w:val="000000"/>
          <w:sz w:val="28"/>
        </w:rPr>
        <w:t xml:space="preserve">
      бюджет тапшылығы </w:t>
      </w:r>
      <w:r>
        <w:br/>
      </w:r>
      <w:r>
        <w:rPr>
          <w:rFonts w:ascii="Times New Roman"/>
          <w:b w:val="false"/>
          <w:i w:val="false"/>
          <w:color w:val="000000"/>
          <w:sz w:val="28"/>
        </w:rPr>
        <w:t>
      "- 16 799" сандары "- 70 950,7"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"16 799" сандары "70 950,7"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екінші абзацтағы "4 400" сандары "0" деген санына ауыстырылсын;</w:t>
      </w:r>
      <w:r>
        <w:br/>
      </w:r>
      <w:r>
        <w:rPr>
          <w:rFonts w:ascii="Times New Roman"/>
          <w:b w:val="false"/>
          <w:i w:val="false"/>
          <w:color w:val="000000"/>
          <w:sz w:val="28"/>
        </w:rPr>
        <w:t>
      үшінші абзацтағы "219 404" сандары "158 538" сандарымен ауысты-рылсын;</w:t>
      </w:r>
      <w:r>
        <w:br/>
      </w:r>
      <w:r>
        <w:rPr>
          <w:rFonts w:ascii="Times New Roman"/>
          <w:b w:val="false"/>
          <w:i w:val="false"/>
          <w:color w:val="000000"/>
          <w:sz w:val="28"/>
        </w:rPr>
        <w:t>
      төртінші абзацтағы "138 213" сандары "0" деген санына ауыстырылсын;</w:t>
      </w:r>
      <w:r>
        <w:br/>
      </w:r>
      <w:r>
        <w:rPr>
          <w:rFonts w:ascii="Times New Roman"/>
          <w:b w:val="false"/>
          <w:i w:val="false"/>
          <w:color w:val="000000"/>
          <w:sz w:val="28"/>
        </w:rPr>
        <w:t>
      бесінші абзацтағы "86 306" сандары "0" деген санына ауыстырылсын;</w:t>
      </w:r>
      <w:r>
        <w:br/>
      </w:r>
      <w:r>
        <w:rPr>
          <w:rFonts w:ascii="Times New Roman"/>
          <w:b w:val="false"/>
          <w:i w:val="false"/>
          <w:color w:val="000000"/>
          <w:sz w:val="28"/>
        </w:rPr>
        <w:t>
      он үшінші абзацтағы "15 354" сандары "3 975" сандарымен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xml:space="preserve">
      "коммуналдық меншіктегі газ жүйелерін қолдануды ұйымдастыруға – 17 016,5 мың теңге"; </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Нұрғалиев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12 наурыздағы № 193 шешіміне1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1 ҚОСЫМША</w:t>
            </w:r>
          </w:p>
        </w:tc>
      </w:tr>
    </w:tbl>
    <w:p>
      <w:pPr>
        <w:spacing w:after="0"/>
        <w:ind w:left="0"/>
        <w:jc w:val="left"/>
      </w:pPr>
      <w:r>
        <w:rPr>
          <w:rFonts w:ascii="Times New Roman"/>
          <w:b/>
          <w:i w:val="false"/>
          <w:color w:val="000000"/>
        </w:rPr>
        <w:t xml:space="preserve"> 2015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650"/>
        <w:gridCol w:w="380"/>
        <w:gridCol w:w="1754"/>
        <w:gridCol w:w="1756"/>
        <w:gridCol w:w="4964"/>
        <w:gridCol w:w="24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4814502,5</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1628751</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190035</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136250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4685</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1002834</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981044</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6882</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3176677,5</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3176677,5</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 трансферттері</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3176677,5</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4868654,2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18381,3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 атқару шеңберіндегі іс-шаралар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2988481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2495145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бағдарламасы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683681,6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584130,5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448431,5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Мәдени-демалыс жұмысын қолдау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38234,9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50492,1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70950,7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54151,7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12 наурыздағы № 193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176 шешіміне 5 ҚОСЫМША</w:t>
            </w:r>
          </w:p>
        </w:tc>
      </w:tr>
    </w:tbl>
    <w:p>
      <w:pPr>
        <w:spacing w:after="0"/>
        <w:ind w:left="0"/>
        <w:jc w:val="left"/>
      </w:pPr>
      <w:r>
        <w:rPr>
          <w:rFonts w:ascii="Times New Roman"/>
          <w:b/>
          <w:i w:val="false"/>
          <w:color w:val="000000"/>
        </w:rPr>
        <w:t xml:space="preserve"> 2015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893"/>
        <w:gridCol w:w="1597"/>
        <w:gridCol w:w="598"/>
        <w:gridCol w:w="1685"/>
        <w:gridCol w:w="2629"/>
        <w:gridCol w:w="2475"/>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және ауылдық округтердің атауы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123001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 123008</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123011</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 123013</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123040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18916</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Бестамақ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Бесқоспа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Қарағаш</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9939</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Қарахобда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Маржанбұлақ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11780</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Сарыхобда</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Тамды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10845</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2387</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Тоқмансай</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9182</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Үшқұдық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9224</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Қарақұдық</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10853</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143 366</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22 239</w:t>
            </w: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17 747</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