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a5c0" w14:textId="b91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20 тамыздағы № 5С-42-3 шешімі. Ақмола облысының Әділет департаментінде 2015 жылғы 17 қыркүйекте № 4977 болып тіркелді. Күші жойылды - Ақмола облысы Жақсы аудандық мәслихатының 2016 жылғы 26 сәуірдегі № 6С-2-7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6С-2-7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Жақсы ауданының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08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08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