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72d6" w14:textId="e157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3 шілдедегі № А-7/321 қаулысы. Ақмола облысының Әділет департаментінде 2015 жылғы 11 тамызда № 4936 болып тіркелді. Күші жойылды - Ақмола облысы әкімдігінің 2020 жылғы 8 сәуірдегі № а-4/189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ff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ҚАУЫЛ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"Өсімдік шаруашылығы саласындағы мемлекеттік көрсетілетін қызметтер регламентін бекіту туралы" Ақмола облысы әкімдігінің 2014 жылғы 28 тамыздағы № А-8/400</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(Нормативтік-құқықтық актілерді мемлекеттік тіркеу тізбесінде № 4385 болып тіркелген, "Әділет" ақпараттық-құқықтық жүйесінде 2014 жылғы 14 қазанда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Қ.М. Отаровқа жүктелсін.</w:t>
      </w:r>
    </w:p>
    <w:bookmarkEnd w:id="3"/>
    <w:bookmarkStart w:name="z5" w:id="4"/>
    <w:p>
      <w:pPr>
        <w:spacing w:after="0"/>
        <w:ind w:left="0"/>
        <w:jc w:val="both"/>
      </w:pPr>
      <w:r>
        <w:rPr>
          <w:rFonts w:ascii="Times New Roman"/>
          <w:b w:val="false"/>
          <w:i w:val="false"/>
          <w:color w:val="000000"/>
          <w:sz w:val="28"/>
        </w:rPr>
        <w:t>
      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күннен кейін, бірақ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Қазақстан Республикасы Ауыл шаруашылығы министрінің 2015 жылғы 28 сәуірдегі № 4-1/379</w:t>
      </w:r>
      <w:r>
        <w:rPr>
          <w:rFonts w:ascii="Times New Roman"/>
          <w:b w:val="false"/>
          <w:i w:val="false"/>
          <w:color w:val="000000"/>
          <w:sz w:val="28"/>
        </w:rPr>
        <w:t xml:space="preserve"> бұйрығы</w:t>
      </w:r>
      <w:r>
        <w:rPr>
          <w:rFonts w:ascii="Times New Roman"/>
          <w:b w:val="false"/>
          <w:i w:val="false"/>
          <w:color w:val="000000"/>
          <w:sz w:val="28"/>
        </w:rPr>
        <w:t xml:space="preserve"> күшіне енгеннен бұрын емес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А-7/321</w:t>
            </w:r>
            <w:r>
              <w:br/>
            </w:r>
            <w:r>
              <w:rPr>
                <w:rFonts w:ascii="Times New Roman"/>
                <w:b w:val="false"/>
                <w:i w:val="false"/>
                <w:color w:val="000000"/>
                <w:sz w:val="20"/>
              </w:rPr>
              <w:t>қаулысымен бекітілді</w:t>
            </w:r>
          </w:p>
        </w:tc>
      </w:tr>
    </w:tbl>
    <w:bookmarkStart w:name="z7" w:id="5"/>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29.08.2019 </w:t>
      </w:r>
      <w:r>
        <w:rPr>
          <w:rFonts w:ascii="Times New Roman"/>
          <w:b w:val="false"/>
          <w:i w:val="false"/>
          <w:color w:val="ff0000"/>
          <w:sz w:val="28"/>
        </w:rPr>
        <w:t>№ A-9/408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8" w:id="6"/>
    <w:p>
      <w:pPr>
        <w:spacing w:after="0"/>
        <w:ind w:left="0"/>
        <w:jc w:val="both"/>
      </w:pPr>
      <w:r>
        <w:rPr>
          <w:rFonts w:ascii="Times New Roman"/>
          <w:b w:val="false"/>
          <w:i w:val="false"/>
          <w:color w:val="000000"/>
          <w:sz w:val="28"/>
        </w:rPr>
        <w:t>
      1.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және Ақмола облысы аудандардың, Көкшетау және Степногорск қалаларының ауыл шаруашылығы бөлімдерімен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28 сәуірдегі № 4-1/379 бұйрығымен (Нормативтік құқықтық актілерді мемлекеттік тіркеу тізілімінде № 11278 болып тіркелген)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w:t>
      </w:r>
    </w:p>
    <w:bookmarkEnd w:id="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1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Start w:name="z14" w:id="12"/>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2"/>
    <w:p>
      <w:pPr>
        <w:spacing w:after="0"/>
        <w:ind w:left="0"/>
        <w:jc w:val="both"/>
      </w:pPr>
      <w:r>
        <w:rPr>
          <w:rFonts w:ascii="Times New Roman"/>
          <w:b w:val="false"/>
          <w:i w:val="false"/>
          <w:color w:val="000000"/>
          <w:sz w:val="28"/>
        </w:rPr>
        <w:t>
      1) өтінімді тіркеу, өтінімді қабылдауды растау;</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хабарламаны жолдау.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Start w:name="z17" w:id="15"/>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1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Start w:name="z18" w:id="1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өткен жылдың күзінде және (немесе) ағымдағы жылдың көктемінде өндірілген жеміс-жидек дақылдарының және жүзімнің көпжылдық екпелерін отырғызуға субсидияларды алу үшін тиісті жылдың 15 маусымына дейінгі мерзімде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 өтінім береді;</w:t>
      </w:r>
    </w:p>
    <w:p>
      <w:pPr>
        <w:spacing w:after="0"/>
        <w:ind w:left="0"/>
        <w:jc w:val="both"/>
      </w:pPr>
      <w:r>
        <w:rPr>
          <w:rFonts w:ascii="Times New Roman"/>
          <w:b w:val="false"/>
          <w:i w:val="false"/>
          <w:color w:val="000000"/>
          <w:sz w:val="28"/>
        </w:rPr>
        <w:t xml:space="preserve">
      көрсетілетін қызметті алушы порталға жеміс-жидек дақылдарының және жүзімнің көпжылдық көшеттерінің екінші вегетациясын – аласа бойлы телітушілердің көшеттерімен және книп-баум көшеттерімен отырғызылғандар үшін, екінші-үшінші вегетациясын – жартылай аласа бойлы телітушілердің көшеттерімен отырғызылғандар үшін, екінші-үшінші-төртінші вегетациясын – биік бойлы телітушілердің көшеттерімен отырғызылғандар үшін, екіншіден бастап жетінші вегетацияны қоса алғанда – алманың "Апорт" сортын өсіруге (күтіп-баптауға) субсидияларды алу үшін тиісті жылдың 1 қыркүйегіне дейінгі мерзімде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 өтінім береді.</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1" w:id="1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8"/>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3" w:id="19"/>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11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