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21de" w14:textId="fb32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28 қарашадағы № 531 және Қазақстан Республикасы Әділет министрінің 2014 жылғы 11 желтоқсандағы № 360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702 және Қазақстан Республикасы Әділет министрінің 2016 жылғы 15 ақпандағы № 73 бірлескен бұйрығы. Қазақстан Республикасының Әділет министрлігінде 2016 жылы 17 наурызда № 13507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28 қарашадағы № 531 және Қазақстан Республикасы Әділет министрінің 2014 жылғы 11 желтоқсандағы № 360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10000 тіркелген, 2015 жылғы 29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тақырыбына мемлекеттік тілде өзгеріс енгізіледі, орыс тіліндегі мәтін өзгермейді:</w:t>
      </w:r>
    </w:p>
    <w:bookmarkEnd w:id="2"/>
    <w:p>
      <w:pPr>
        <w:spacing w:after="0"/>
        <w:ind w:left="0"/>
        <w:jc w:val="both"/>
      </w:pPr>
      <w:r>
        <w:rPr>
          <w:rFonts w:ascii="Times New Roman"/>
          <w:b w:val="false"/>
          <w:i w:val="false"/>
          <w:color w:val="000000"/>
          <w:sz w:val="28"/>
        </w:rPr>
        <w:t>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мемлекеттік тілде өзгеріс енгізіледі, орыс тіліндегі мәтін өзгермейді:</w:t>
      </w:r>
    </w:p>
    <w:p>
      <w:pPr>
        <w:spacing w:after="0"/>
        <w:ind w:left="0"/>
        <w:jc w:val="both"/>
      </w:pPr>
      <w:r>
        <w:rPr>
          <w:rFonts w:ascii="Times New Roman"/>
          <w:b w:val="false"/>
          <w:i w:val="false"/>
          <w:color w:val="000000"/>
          <w:sz w:val="28"/>
        </w:rPr>
        <w:t>
      "1. Қоса беріліп отырған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тақырыбына мемлекеттік тілде өзгеріс енгізіледі, орыс тіліндегі мәтін өзгермейді:</w:t>
      </w:r>
    </w:p>
    <w:bookmarkEnd w:id="4"/>
    <w:p>
      <w:pPr>
        <w:spacing w:after="0"/>
        <w:ind w:left="0"/>
        <w:jc w:val="both"/>
      </w:pPr>
      <w:r>
        <w:rPr>
          <w:rFonts w:ascii="Times New Roman"/>
          <w:b w:val="false"/>
          <w:i w:val="false"/>
          <w:color w:val="000000"/>
          <w:sz w:val="28"/>
        </w:rPr>
        <w:t>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Талаптар мақсатында мынадай негізгі ұғымдар пайдаланылады:</w:t>
      </w:r>
    </w:p>
    <w:p>
      <w:pPr>
        <w:spacing w:after="0"/>
        <w:ind w:left="0"/>
        <w:jc w:val="both"/>
      </w:pPr>
      <w:r>
        <w:rPr>
          <w:rFonts w:ascii="Times New Roman"/>
          <w:b w:val="false"/>
          <w:i w:val="false"/>
          <w:color w:val="000000"/>
          <w:sz w:val="28"/>
        </w:rPr>
        <w:t>
      1) ақшамен және (немесе) өзге мүлікпен операцияларды тоқтатып қою – Субъектілер терроризмді және экстремизмді қаржыландыруға байланысты ұйымдар мен тұлғалардың тізбесіне енгізілген ұйым немесе жеке тұлға не олардың пайдасына, сол сияқты осындай жеке тұлға бенефициарлық меншік иесі болып табылатын клиент не оның пайдасына ақшамен және (немесе) өзге мүлікпен жасалатын операцияларды жүргізуден бас тарту арқылы қабылданатын шаралар;</w:t>
      </w:r>
    </w:p>
    <w:p>
      <w:pPr>
        <w:spacing w:after="0"/>
        <w:ind w:left="0"/>
        <w:jc w:val="both"/>
      </w:pPr>
      <w:r>
        <w:rPr>
          <w:rFonts w:ascii="Times New Roman"/>
          <w:b w:val="false"/>
          <w:i w:val="false"/>
          <w:color w:val="000000"/>
          <w:sz w:val="28"/>
        </w:rPr>
        <w:t>
      2)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 не атынан операция (мәміле) жасалатын жеке тұлға;</w:t>
      </w:r>
    </w:p>
    <w:p>
      <w:pPr>
        <w:spacing w:after="0"/>
        <w:ind w:left="0"/>
        <w:jc w:val="both"/>
      </w:pPr>
      <w:r>
        <w:rPr>
          <w:rFonts w:ascii="Times New Roman"/>
          <w:b w:val="false"/>
          <w:i w:val="false"/>
          <w:color w:val="000000"/>
          <w:sz w:val="28"/>
        </w:rPr>
        <w:t xml:space="preserve">
      3) қаржы мониторингіне жататын операция туралы мәліметтер мен ақпараттар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 беру қағидаларында айқындалған нысан (бұдан әрі – ҚМ-1 нысаны);</w:t>
      </w:r>
    </w:p>
    <w:p>
      <w:pPr>
        <w:spacing w:after="0"/>
        <w:ind w:left="0"/>
        <w:jc w:val="both"/>
      </w:pPr>
      <w:r>
        <w:rPr>
          <w:rFonts w:ascii="Times New Roman"/>
          <w:b w:val="false"/>
          <w:i w:val="false"/>
          <w:color w:val="000000"/>
          <w:sz w:val="28"/>
        </w:rPr>
        <w:t xml:space="preserve">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әрекетке қасақана немесе байқаусыз тарту мүмкіндігі; </w:t>
      </w:r>
    </w:p>
    <w:p>
      <w:pPr>
        <w:spacing w:after="0"/>
        <w:ind w:left="0"/>
        <w:jc w:val="both"/>
      </w:pPr>
      <w:r>
        <w:rPr>
          <w:rFonts w:ascii="Times New Roman"/>
          <w:b w:val="false"/>
          <w:i w:val="false"/>
          <w:color w:val="000000"/>
          <w:sz w:val="28"/>
        </w:rPr>
        <w:t xml:space="preserve">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оларды айқындау, сондай-ақ оларды төмендету бойынша Субъектілер қолданатын шаралар жиынтығы (көрсетілетін қызметтерге, клиенттерге қатысты); </w:t>
      </w:r>
    </w:p>
    <w:p>
      <w:pPr>
        <w:spacing w:after="0"/>
        <w:ind w:left="0"/>
        <w:jc w:val="both"/>
      </w:pPr>
      <w:r>
        <w:rPr>
          <w:rFonts w:ascii="Times New Roman"/>
          <w:b w:val="false"/>
          <w:i w:val="false"/>
          <w:color w:val="000000"/>
          <w:sz w:val="28"/>
        </w:rPr>
        <w:t xml:space="preserve">
      6) клиент – ақшамен және (немесе) өзге мүлікпен нотариаттық іс-әрекеттерді жүргізу бойынша қызметтерді пайдаланатын жеке және заңды тұлға; </w:t>
      </w:r>
    </w:p>
    <w:p>
      <w:pPr>
        <w:spacing w:after="0"/>
        <w:ind w:left="0"/>
        <w:jc w:val="both"/>
      </w:pPr>
      <w:r>
        <w:rPr>
          <w:rFonts w:ascii="Times New Roman"/>
          <w:b w:val="false"/>
          <w:i w:val="false"/>
          <w:color w:val="000000"/>
          <w:sz w:val="28"/>
        </w:rPr>
        <w:t>
      7) уәкілетті орган – Заңға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 қолданатын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Субъектілер Ішкі бақылау қағидаларын (бұдан әрі – ІБҚ) ұйымдастыру және сақтау бойынша жауапты тұлғалар болып табылады.</w:t>
      </w:r>
    </w:p>
    <w:p>
      <w:pPr>
        <w:spacing w:after="0"/>
        <w:ind w:left="0"/>
        <w:jc w:val="both"/>
      </w:pPr>
      <w:r>
        <w:rPr>
          <w:rFonts w:ascii="Times New Roman"/>
          <w:b w:val="false"/>
          <w:i w:val="false"/>
          <w:color w:val="000000"/>
          <w:sz w:val="28"/>
        </w:rPr>
        <w:t xml:space="preserve">
      7. Субъектілер ІБҚ әзірлеу, қабылдау және (немесе) орындау бойынша міндеттерді және оны жүзеге асыру бағдарламаларын орындамау үшін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жауаптылықта болады.";</w:t>
      </w:r>
    </w:p>
    <w:bookmarkStart w:name="z9" w:id="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және 6) тармақшаларында көзделген шараларды қолдану, ақшамен және (немесе) өзге мүлікпен операцияларды тоқтатып қою және клиентпен іскерлік қатынастар орнатудан бас тарту бойынша шараларды қолдану мүмкін болмаған жағдайда және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мүмкін болмаған жағдайда, клиентпен іскерлік қатынастарды орнатудан бас тарту, ақшамен және (немесе) өзге де мүлікпен операция жасаудан бас тарту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Субъектілер жүктелген функцияларға сәйкес:</w:t>
      </w:r>
    </w:p>
    <w:p>
      <w:pPr>
        <w:spacing w:after="0"/>
        <w:ind w:left="0"/>
        <w:jc w:val="both"/>
      </w:pPr>
      <w:r>
        <w:rPr>
          <w:rFonts w:ascii="Times New Roman"/>
          <w:b w:val="false"/>
          <w:i w:val="false"/>
          <w:color w:val="000000"/>
          <w:sz w:val="28"/>
        </w:rPr>
        <w:t>
      1) өз қызметін жүзеге асыру барысында алынған ақпараттың құпиялылығын қамтамасыз етеді;</w:t>
      </w:r>
    </w:p>
    <w:p>
      <w:pPr>
        <w:spacing w:after="0"/>
        <w:ind w:left="0"/>
        <w:jc w:val="both"/>
      </w:pPr>
      <w:r>
        <w:rPr>
          <w:rFonts w:ascii="Times New Roman"/>
          <w:b w:val="false"/>
          <w:i w:val="false"/>
          <w:color w:val="000000"/>
          <w:sz w:val="28"/>
        </w:rPr>
        <w:t>
      2) АЖ/ТҚҚ туралы заңнаманың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уәкілетті органға оның сұратуы бойынша АЖ/ТҚҚ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қажетті ақпаратты, мәліметтер мен құжаттар береді.</w:t>
      </w:r>
    </w:p>
    <w:p>
      <w:pPr>
        <w:spacing w:after="0"/>
        <w:ind w:left="0"/>
        <w:jc w:val="both"/>
      </w:pPr>
      <w:r>
        <w:rPr>
          <w:rFonts w:ascii="Times New Roman"/>
          <w:b w:val="false"/>
          <w:i w:val="false"/>
          <w:color w:val="000000"/>
          <w:sz w:val="28"/>
        </w:rPr>
        <w:t>
      Субъект клиенттер мен өзге де адамдарға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 немесе өзге қылмыстық әрекеттері жоғары деңгейдегі;</w:t>
      </w:r>
    </w:p>
    <w:p>
      <w:pPr>
        <w:spacing w:after="0"/>
        <w:ind w:left="0"/>
        <w:jc w:val="both"/>
      </w:pPr>
      <w:r>
        <w:rPr>
          <w:rFonts w:ascii="Times New Roman"/>
          <w:b w:val="false"/>
          <w:i w:val="false"/>
          <w:color w:val="000000"/>
          <w:sz w:val="28"/>
        </w:rPr>
        <w:t>
      Біріккен Ұлттар Ұйымы (бұдан әрі – БҰҰ) салатын санкцияларға,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қаржыландыратын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p>
      <w:pPr>
        <w:spacing w:after="0"/>
        <w:ind w:left="0"/>
        <w:jc w:val="both"/>
      </w:pPr>
      <w:r>
        <w:rPr>
          <w:rFonts w:ascii="Times New Roman"/>
          <w:b w:val="false"/>
          <w:i w:val="false"/>
          <w:color w:val="000000"/>
          <w:sz w:val="28"/>
        </w:rPr>
        <w:t xml:space="preserve">
      Осындай мемлекеттердің (аумақтардың) тізбелеріне БҰҰ және халықаралық ұйымдардың деректері бойынша сілтемелер уәкілетті органның ресми интернет-ресурсында жарияланады; </w:t>
      </w:r>
    </w:p>
    <w:p>
      <w:pPr>
        <w:spacing w:after="0"/>
        <w:ind w:left="0"/>
        <w:jc w:val="both"/>
      </w:pPr>
      <w:r>
        <w:rPr>
          <w:rFonts w:ascii="Times New Roman"/>
          <w:b w:val="false"/>
          <w:i w:val="false"/>
          <w:color w:val="000000"/>
          <w:sz w:val="28"/>
        </w:rPr>
        <w:t>
      2) мынадай жағдайларда клиентке:</w:t>
      </w:r>
    </w:p>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p>
      <w:pPr>
        <w:spacing w:after="0"/>
        <w:ind w:left="0"/>
        <w:jc w:val="both"/>
      </w:pPr>
      <w:r>
        <w:rPr>
          <w:rFonts w:ascii="Times New Roman"/>
          <w:b w:val="false"/>
          <w:i w:val="false"/>
          <w:color w:val="000000"/>
          <w:sz w:val="28"/>
        </w:rPr>
        <w:t xml:space="preserve">
      клиент (оның өкілі) не бенефициарлық меншік иесі не клиенттің операция бойынша контрагенті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 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(аумақта) тіркелген немесе қызметін жүзеге асырған;</w:t>
      </w:r>
    </w:p>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қаржыландыруға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адам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клиент жарғылық капиталында мемлекеттік меншік үлесі бар ұйым болып табылған;</w:t>
      </w:r>
    </w:p>
    <w:p>
      <w:pPr>
        <w:spacing w:after="0"/>
        <w:ind w:left="0"/>
        <w:jc w:val="both"/>
      </w:pPr>
      <w:r>
        <w:rPr>
          <w:rFonts w:ascii="Times New Roman"/>
          <w:b w:val="false"/>
          <w:i w:val="false"/>
          <w:color w:val="000000"/>
          <w:sz w:val="28"/>
        </w:rPr>
        <w:t xml:space="preserve">
      мемлекеттік тіркеу кезінде клиенттің мәлімдеген орны оның басқару органының іс жүзіндегі қызмет орнымен сәйкес келмеген; </w:t>
      </w:r>
    </w:p>
    <w:p>
      <w:pPr>
        <w:spacing w:after="0"/>
        <w:ind w:left="0"/>
        <w:jc w:val="both"/>
      </w:pPr>
      <w:r>
        <w:rPr>
          <w:rFonts w:ascii="Times New Roman"/>
          <w:b w:val="false"/>
          <w:i w:val="false"/>
          <w:color w:val="000000"/>
          <w:sz w:val="28"/>
        </w:rPr>
        <w:t>
      клиентпен іскерлік қатынас (мысалы, Субъект пен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Субъектілерде клиент берген мәліметтерді тексеру кезінде қиындықтар пайда болған;</w:t>
      </w:r>
    </w:p>
    <w:p>
      <w:pPr>
        <w:spacing w:after="0"/>
        <w:ind w:left="0"/>
        <w:jc w:val="both"/>
      </w:pPr>
      <w:r>
        <w:rPr>
          <w:rFonts w:ascii="Times New Roman"/>
          <w:b w:val="false"/>
          <w:i w:val="false"/>
          <w:color w:val="000000"/>
          <w:sz w:val="28"/>
        </w:rPr>
        <w:t>
      клиент нотариаттық әрекеттерді тездетуді талап еткен;</w:t>
      </w:r>
    </w:p>
    <w:p>
      <w:pPr>
        <w:spacing w:after="0"/>
        <w:ind w:left="0"/>
        <w:jc w:val="both"/>
      </w:pPr>
      <w:r>
        <w:rPr>
          <w:rFonts w:ascii="Times New Roman"/>
          <w:b w:val="false"/>
          <w:i w:val="false"/>
          <w:color w:val="000000"/>
          <w:sz w:val="28"/>
        </w:rPr>
        <w:t>
      клиент пайдаланылуы Субъектілердің әдеттегі тәжірибесінен айрықшаланатын стандартты емес немесе есеп айырысудың күрделі схемаларын жүргізуді талап еткен;</w:t>
      </w:r>
    </w:p>
    <w:p>
      <w:pPr>
        <w:spacing w:after="0"/>
        <w:ind w:left="0"/>
        <w:jc w:val="both"/>
      </w:pPr>
      <w:r>
        <w:rPr>
          <w:rFonts w:ascii="Times New Roman"/>
          <w:b w:val="false"/>
          <w:i w:val="false"/>
          <w:color w:val="000000"/>
          <w:sz w:val="28"/>
        </w:rPr>
        <w:t>
      клиент жаңа, сол сияқты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тәуекеліне байланысты клиент туралы өзге ақпарат болған жағдайда;</w:t>
      </w:r>
    </w:p>
    <w:p>
      <w:pPr>
        <w:spacing w:after="0"/>
        <w:ind w:left="0"/>
        <w:jc w:val="both"/>
      </w:pPr>
      <w:r>
        <w:rPr>
          <w:rFonts w:ascii="Times New Roman"/>
          <w:b w:val="false"/>
          <w:i w:val="false"/>
          <w:color w:val="000000"/>
          <w:sz w:val="28"/>
        </w:rPr>
        <w:t>
      3) операциялар:</w:t>
      </w:r>
    </w:p>
    <w:p>
      <w:pPr>
        <w:spacing w:after="0"/>
        <w:ind w:left="0"/>
        <w:jc w:val="both"/>
      </w:pPr>
      <w:r>
        <w:rPr>
          <w:rFonts w:ascii="Times New Roman"/>
          <w:b w:val="false"/>
          <w:i w:val="false"/>
          <w:color w:val="000000"/>
          <w:sz w:val="28"/>
        </w:rPr>
        <w:t>
      тараптардың іс жүзінде қатысуынсыз жүргізілетін;</w:t>
      </w:r>
    </w:p>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ойлап табылған есімдерді қолданумен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клиенттің оған тән емес жиілікпен не осы клиент үшін ерекше ірі сомаға жүргізілген;</w:t>
      </w:r>
    </w:p>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АЖ/ТҚ тәуекелін басқару бағдарламасында тәуекелдің төмен деңгейі:</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ФАТФ ұсынымдарын орындамайтын және (немесе) толық көлемде орындамайтын мемлекеттер (аумақтар) тізбесіне енбеген;</w:t>
      </w:r>
    </w:p>
    <w:p>
      <w:pPr>
        <w:spacing w:after="0"/>
        <w:ind w:left="0"/>
        <w:jc w:val="both"/>
      </w:pPr>
      <w:r>
        <w:rPr>
          <w:rFonts w:ascii="Times New Roman"/>
          <w:b w:val="false"/>
          <w:i w:val="false"/>
          <w:color w:val="000000"/>
          <w:sz w:val="28"/>
        </w:rPr>
        <w:t>
      жемқорлық немесе өзге қылмыстық әрекеттері төмен деңгейдегі мемлекеттен (аумақтан) келген жеке және заңды тұлғалардың іскерлік қатынастары мен мәмілелеріне;</w:t>
      </w:r>
    </w:p>
    <w:p>
      <w:pPr>
        <w:spacing w:after="0"/>
        <w:ind w:left="0"/>
        <w:jc w:val="both"/>
      </w:pPr>
      <w:r>
        <w:rPr>
          <w:rFonts w:ascii="Times New Roman"/>
          <w:b w:val="false"/>
          <w:i w:val="false"/>
          <w:color w:val="000000"/>
          <w:sz w:val="28"/>
        </w:rPr>
        <w:t>
      2) клиентке егер клиент:</w:t>
      </w:r>
    </w:p>
    <w:p>
      <w:pPr>
        <w:spacing w:after="0"/>
        <w:ind w:left="0"/>
        <w:jc w:val="both"/>
      </w:pPr>
      <w:r>
        <w:rPr>
          <w:rFonts w:ascii="Times New Roman"/>
          <w:b w:val="false"/>
          <w:i w:val="false"/>
          <w:color w:val="000000"/>
          <w:sz w:val="28"/>
        </w:rPr>
        <w:t>
      қаржы мекемесі – қаржы мониторингі субъектісі болған және соңғы бір жылда АЖ/ТҚҚ туралы заңнаманы сақтамағаны үшін әкімшілік жауаптылыққа тартылмаған жағдайда;</w:t>
      </w:r>
    </w:p>
    <w:p>
      <w:pPr>
        <w:spacing w:after="0"/>
        <w:ind w:left="0"/>
        <w:jc w:val="both"/>
      </w:pPr>
      <w:r>
        <w:rPr>
          <w:rFonts w:ascii="Times New Roman"/>
          <w:b w:val="false"/>
          <w:i w:val="false"/>
          <w:color w:val="000000"/>
          <w:sz w:val="28"/>
        </w:rPr>
        <w:t>
      Қазақстан Республикасының мемлекеттік органы болып табылғанда;</w:t>
      </w:r>
    </w:p>
    <w:p>
      <w:pPr>
        <w:spacing w:after="0"/>
        <w:ind w:left="0"/>
        <w:jc w:val="both"/>
      </w:pPr>
      <w:r>
        <w:rPr>
          <w:rFonts w:ascii="Times New Roman"/>
          <w:b w:val="false"/>
          <w:i w:val="false"/>
          <w:color w:val="000000"/>
          <w:sz w:val="28"/>
        </w:rPr>
        <w:t>
      Қор биржасында тіркелген ұйым болып табылғанда;</w:t>
      </w:r>
    </w:p>
    <w:p>
      <w:pPr>
        <w:spacing w:after="0"/>
        <w:ind w:left="0"/>
        <w:jc w:val="both"/>
      </w:pPr>
      <w:r>
        <w:rPr>
          <w:rFonts w:ascii="Times New Roman"/>
          <w:b w:val="false"/>
          <w:i w:val="false"/>
          <w:color w:val="000000"/>
          <w:sz w:val="28"/>
        </w:rPr>
        <w:t>
      3) операциялар:</w:t>
      </w:r>
    </w:p>
    <w:p>
      <w:pPr>
        <w:spacing w:after="0"/>
        <w:ind w:left="0"/>
        <w:jc w:val="both"/>
      </w:pPr>
      <w:r>
        <w:rPr>
          <w:rFonts w:ascii="Times New Roman"/>
          <w:b w:val="false"/>
          <w:i w:val="false"/>
          <w:color w:val="000000"/>
          <w:sz w:val="28"/>
        </w:rPr>
        <w:t xml:space="preserve">
      мемлекеттік қызметшілердің мүлікті (коммерциялық ұйымдардың жарғылық капиталындағы үлестерді, акцияларды және өзге мүлікті, сонымен қатар жалдауға берілген мүлікті) сенімгерлікпен басқаруға беру бойынша; </w:t>
      </w:r>
    </w:p>
    <w:p>
      <w:pPr>
        <w:spacing w:after="0"/>
        <w:ind w:left="0"/>
        <w:jc w:val="both"/>
      </w:pPr>
      <w:r>
        <w:rPr>
          <w:rFonts w:ascii="Times New Roman"/>
          <w:b w:val="false"/>
          <w:i w:val="false"/>
          <w:color w:val="000000"/>
          <w:sz w:val="28"/>
        </w:rPr>
        <w:t xml:space="preserve">
      мүлікті пайдалану тәртібі туралы шартты растауға байланысты беріледі. </w:t>
      </w:r>
    </w:p>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Start w:name="z12" w:id="6"/>
    <w:p>
      <w:pPr>
        <w:spacing w:after="0"/>
        <w:ind w:left="0"/>
        <w:jc w:val="both"/>
      </w:pPr>
      <w:r>
        <w:rPr>
          <w:rFonts w:ascii="Times New Roman"/>
          <w:b w:val="false"/>
          <w:i w:val="false"/>
          <w:color w:val="000000"/>
          <w:sz w:val="28"/>
        </w:rPr>
        <w:t xml:space="preserve">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іс-шараларды Субъектілердің жүргізуі болып табылады және: </w:t>
      </w:r>
    </w:p>
    <w:bookmarkEnd w:id="6"/>
    <w:p>
      <w:pPr>
        <w:spacing w:after="0"/>
        <w:ind w:left="0"/>
        <w:jc w:val="both"/>
      </w:pPr>
      <w:r>
        <w:rPr>
          <w:rFonts w:ascii="Times New Roman"/>
          <w:b w:val="false"/>
          <w:i w:val="false"/>
          <w:color w:val="000000"/>
          <w:sz w:val="28"/>
        </w:rPr>
        <w:t xml:space="preserve">
      1)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иесін тиісінше тексеру жөніндегі шараларды сақтау;</w:t>
      </w:r>
    </w:p>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қаржыландыруға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қаржыландыруға байланысының бары немесе жоғы; </w:t>
      </w:r>
    </w:p>
    <w:p>
      <w:pPr>
        <w:spacing w:after="0"/>
        <w:ind w:left="0"/>
        <w:jc w:val="both"/>
      </w:pPr>
      <w:r>
        <w:rPr>
          <w:rFonts w:ascii="Times New Roman"/>
          <w:b w:val="false"/>
          <w:i w:val="false"/>
          <w:color w:val="000000"/>
          <w:sz w:val="28"/>
        </w:rPr>
        <w:t xml:space="preserve">
      4) АЖ/ТҚҚ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p>
      <w:pPr>
        <w:spacing w:after="0"/>
        <w:ind w:left="0"/>
        <w:jc w:val="both"/>
      </w:pPr>
      <w:r>
        <w:rPr>
          <w:rFonts w:ascii="Times New Roman"/>
          <w:b w:val="false"/>
          <w:i w:val="false"/>
          <w:color w:val="000000"/>
          <w:sz w:val="28"/>
        </w:rPr>
        <w:t xml:space="preserve">
      5) мыналарды: </w:t>
      </w:r>
    </w:p>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мемлекетте (аумақта) не АЖ/ТҚҚ туралы Заңның 4-бабы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пайдаланатын клиенттерді анықтау;</w:t>
      </w:r>
    </w:p>
    <w:p>
      <w:pPr>
        <w:spacing w:after="0"/>
        <w:ind w:left="0"/>
        <w:jc w:val="both"/>
      </w:pPr>
      <w:r>
        <w:rPr>
          <w:rFonts w:ascii="Times New Roman"/>
          <w:b w:val="false"/>
          <w:i w:val="false"/>
          <w:color w:val="000000"/>
          <w:sz w:val="28"/>
        </w:rPr>
        <w:t>
      Бұйрықпен бекітілген оффшорлық аймақтарда сәйкесінше тіркелген, тұратын жері және орналасқан жері бар клиенттерді анықтау;</w:t>
      </w:r>
    </w:p>
    <w:p>
      <w:pPr>
        <w:spacing w:after="0"/>
        <w:ind w:left="0"/>
        <w:jc w:val="both"/>
      </w:pPr>
      <w:r>
        <w:rPr>
          <w:rFonts w:ascii="Times New Roman"/>
          <w:b w:val="false"/>
          <w:i w:val="false"/>
          <w:color w:val="000000"/>
          <w:sz w:val="28"/>
        </w:rPr>
        <w:t>
      6) болжамдалатын мақсатты және іскерлік қатынастар сипатын белгілеу рәсімдерін қамтиды.</w:t>
      </w:r>
    </w:p>
    <w:p>
      <w:pPr>
        <w:spacing w:after="0"/>
        <w:ind w:left="0"/>
        <w:jc w:val="both"/>
      </w:pPr>
      <w:r>
        <w:rPr>
          <w:rFonts w:ascii="Times New Roman"/>
          <w:b w:val="false"/>
          <w:i w:val="false"/>
          <w:color w:val="000000"/>
          <w:sz w:val="28"/>
        </w:rPr>
        <w:t>
      АЖ/ТҚ тәуекелінің жоғары деңгейі бар клиент үшін болжамдалатын мақсатты және іскерлік қатынастар сипатын белгілеу кезінде қызмет түрі және жасалатын операциялардың қаржыландыру көзі туралы қосымша мәліметтер сұратылады.</w:t>
      </w:r>
    </w:p>
    <w:p>
      <w:pPr>
        <w:spacing w:after="0"/>
        <w:ind w:left="0"/>
        <w:jc w:val="both"/>
      </w:pPr>
      <w:r>
        <w:rPr>
          <w:rFonts w:ascii="Times New Roman"/>
          <w:b w:val="false"/>
          <w:i w:val="false"/>
          <w:color w:val="000000"/>
          <w:sz w:val="28"/>
        </w:rPr>
        <w:t>
      АЖ/ТҚ тәуекелінің төмен деңгейі бар клиент үшін болжамдалатын мақсатты және іскерлік қатынастар сипатын белгілеу клиент операциялары сипатының негізінде анықталады.</w:t>
      </w:r>
    </w:p>
    <w:p>
      <w:pPr>
        <w:spacing w:after="0"/>
        <w:ind w:left="0"/>
        <w:jc w:val="both"/>
      </w:pPr>
      <w:r>
        <w:rPr>
          <w:rFonts w:ascii="Times New Roman"/>
          <w:b w:val="false"/>
          <w:i w:val="false"/>
          <w:color w:val="000000"/>
          <w:sz w:val="28"/>
        </w:rPr>
        <w:t>
      7) берілген тәуекел деңгейіне қарай клиентке тәуекелдерді басқару бағдарламасына сәйкес клиентті тиісінше тексеру бойынша шаралар қолдану;</w:t>
      </w:r>
    </w:p>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өзгеруіне қарай сәйкестендіру нәтижелері туралы алынған мәліметтерді жылына кемінде бір рет жаңарту рәсімдерін қамтиды;</w:t>
      </w:r>
    </w:p>
    <w:p>
      <w:pPr>
        <w:spacing w:after="0"/>
        <w:ind w:left="0"/>
        <w:jc w:val="both"/>
      </w:pPr>
      <w:r>
        <w:rPr>
          <w:rFonts w:ascii="Times New Roman"/>
          <w:b w:val="false"/>
          <w:i w:val="false"/>
          <w:color w:val="000000"/>
          <w:sz w:val="28"/>
        </w:rPr>
        <w:t>
      АЖ/ТҚ тәуекелінің жоғары деңгейі бар клиент (оның өкілі) және бенефициарлық меншік иесі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АЖ/ТҚ тәуекелінің төмен деңгейі бар клиент (оның өкілі) және бенефициарлық меншік иесі туралы мәліметтерді жаңарту екі жылда кемінде бір рет жүзеге асырылады.</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АЖ/ТҚҚ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тармақшаларында көзделген шараларды қолдану мүмкін болмаған жағдайда, сондай-ақ ақшамен және (немесе) өзге мүлікпен операцияларды тоқтатып қою шаралары қолданған жағдайда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АЖ/ТҚҚ туралы Заңның 5-бабы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тоқтатады.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осы Субъектіде өткізген барлық операцияларын қосымша зерделейді және одан әрі тексеруді талап ететін операциялардың сипатын анықтайды.</w:t>
      </w:r>
    </w:p>
    <w:p>
      <w:pPr>
        <w:spacing w:after="0"/>
        <w:ind w:left="0"/>
        <w:jc w:val="both"/>
      </w:pPr>
      <w:r>
        <w:rPr>
          <w:rFonts w:ascii="Times New Roman"/>
          <w:b w:val="false"/>
          <w:i w:val="false"/>
          <w:color w:val="000000"/>
          <w:sz w:val="28"/>
        </w:rPr>
        <w:t xml:space="preserve">
      Субъект клиентке АЖ/ТҚ тәуекелінің төмен деңгейін берген жағдайда клиенттің ағымдағы операциясын зерделейді.";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АЖ/ТҚҚ мәселелері бойынша даярлау және оқыту бағдарламасы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жұмыскерлерді даярлау және оқыту бойынша қойылатын талаптарға сәйкес әзірленеді.".</w:t>
      </w:r>
    </w:p>
    <w:bookmarkStart w:name="z15" w:id="7"/>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4) осы бұйрықтың Қазақстан Республикасының Қаржы министрлігінің интернет-ресурсында орналастырылуын қамтамасыз етсін.</w:t>
      </w:r>
    </w:p>
    <w:bookmarkStart w:name="z16" w:id="8"/>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______________ Б. Имашев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______________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