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32f4" w14:textId="54c3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14 желтоқсандағы № 1199 және Қазақстан Республикасы Ұлттық экономика министрінің 2015 жылғы 29 желтоқсандағы № 826 бірлескен бұйрығы. Қазақстан Республикасының Әділет министрлігінде 2015 жылы 31 желтоқсанда № 12735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bookmarkStart w:name="z85"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және "Техникалық реттеу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Бекітілсін:</w:t>
      </w:r>
    </w:p>
    <w:bookmarkEnd w:id="1"/>
    <w:bookmarkStart w:name="z13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саласындағы бақылау және қадағалау субъектілерін (объектілерін) іріктеу үшін тәуекел дәрежесін бағалау өлшемшарттары;</w:t>
      </w:r>
    </w:p>
    <w:bookmarkEnd w:id="2"/>
    <w:bookmarkStart w:name="z13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3"/>
    <w:bookmarkStart w:name="z132" w:id="4"/>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4"/>
    <w:bookmarkStart w:name="z135"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оқу орталықтарына қатысты техникалық реттеу саласындағы тексеру парағы;</w:t>
      </w:r>
    </w:p>
    <w:bookmarkEnd w:id="5"/>
    <w:bookmarkStart w:name="z136"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тауардың шығарылуы туралы сертификатты беруге уәкілетті ұйымға қатысты техникалық реттеу саласындағы тексеру парағы.</w:t>
      </w:r>
    </w:p>
    <w:bookmarkEnd w:id="6"/>
    <w:bookmarkStart w:name="z137"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bookmarkEnd w:id="7"/>
    <w:bookmarkStart w:name="z138"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жөніндегі органға және сынақ зертханасына (орталығына) қатысты техникалық реттеу саласындағы тексеру парағы;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өзгеріс енгізілді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25.07.2025 № 70 (01.01.2026 бастап қолданысқа енгізіледі) бірлескен бұйрықтарымен.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"Техникалық реттеу және метрология саласындағы тәуекел дәрежесінің бағалау критерийлерін және тексеру парақтарының нысандарын бекіту туралы" Қазақстан Республикасы Инвестициялар және даму министрінің міндетін атқарушының 2015 жылғы 26 маусымдағы № 728 және Қазақстан Республикасы Ұлттық экономика министрінің 2015 жылғы 4 шілдедегі № 501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11831 тіркелген, 2015 жылғы 21 тамыздағы "Әділет" ақпараттық–құқықтық жүйесінде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(Б.Б. Қанешев): </w:t>
      </w:r>
    </w:p>
    <w:bookmarkEnd w:id="10"/>
    <w:bookmarkStart w:name="z12"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12"/>
    <w:bookmarkStart w:name="z14" w:id="13"/>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3"/>
    <w:bookmarkStart w:name="z15" w:id="14"/>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15"/>
    <w:bookmarkStart w:name="z17" w:id="1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2015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18" w:id="17"/>
    <w:p>
      <w:pPr>
        <w:spacing w:after="0"/>
        <w:ind w:left="0"/>
        <w:jc w:val="left"/>
      </w:pPr>
      <w:r>
        <w:rPr>
          <w:rFonts w:ascii="Times New Roman"/>
          <w:b/>
          <w:i w:val="false"/>
          <w:color w:val="000000"/>
        </w:rPr>
        <w:t xml:space="preserve"> Техникалық реттеу саласындағы бақылау және қадағалау субъектілерін (объектілерін) іріктеу үшін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98" w:id="18"/>
    <w:p>
      <w:pPr>
        <w:spacing w:after="0"/>
        <w:ind w:left="0"/>
        <w:jc w:val="left"/>
      </w:pPr>
      <w:r>
        <w:rPr>
          <w:rFonts w:ascii="Times New Roman"/>
          <w:b/>
          <w:i w:val="false"/>
          <w:color w:val="000000"/>
        </w:rPr>
        <w:t xml:space="preserve"> 1-тарау. Жалпы ережелер</w:t>
      </w:r>
    </w:p>
    <w:bookmarkEnd w:id="18"/>
    <w:bookmarkStart w:name="z140" w:id="19"/>
    <w:p>
      <w:pPr>
        <w:spacing w:after="0"/>
        <w:ind w:left="0"/>
        <w:jc w:val="both"/>
      </w:pPr>
      <w:r>
        <w:rPr>
          <w:rFonts w:ascii="Times New Roman"/>
          <w:b w:val="false"/>
          <w:i w:val="false"/>
          <w:color w:val="000000"/>
          <w:sz w:val="28"/>
        </w:rPr>
        <w:t xml:space="preserve">
      1. Осы техникалық реттеу саласындағы бақылау және қадағалау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9"/>
    <w:bookmarkStart w:name="z141"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xml:space="preserve">
      2) деректерді қалыпқа келтіру – әртүрлі шкалаларда өлшенген мәндерді шартты жалпы шкалаға келтіруді көздейтін статистикалық рәсім; </w:t>
      </w:r>
    </w:p>
    <w:p>
      <w:pPr>
        <w:spacing w:after="0"/>
        <w:ind w:left="0"/>
        <w:jc w:val="both"/>
      </w:pPr>
      <w:r>
        <w:rPr>
          <w:rFonts w:ascii="Times New Roman"/>
          <w:b w:val="false"/>
          <w:i w:val="false"/>
          <w:color w:val="000000"/>
          <w:sz w:val="28"/>
        </w:rPr>
        <w:t>
      3)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4) елеусіз бұзушылықтар – елеулі және өрескел бұзушылықтарға жатпайтын,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5)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және қадағалау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қарай бақылау және қадағалау субъектілерінің (объектілерінің) командасы үшін қолданылатын тәуекел дәрежесін бағалау өлшемшарттары;</w:t>
      </w:r>
    </w:p>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ететін, кәсіпкерлік еркіндігін шектеудің ең аз ықтимал дәрежесі мақсатында бақылау және қадағалау субъектісіне (объектісіне) бару арқылы профилактикалық бақылауды және (немесе) талаптарға біліктілік сәйкестігіне (бұдан әрі - талаптарға сәйкестігін тексеру) тексеруді кейіннен жүзеге асыру үшін бақылау және қадағалау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және қадағалау субъектісі (объектісі) үшін тәуекел деңгейіне енгізілген өзгерістерді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босатуды және (немесе) талаптарға сәйкестігін тексеруді жүзеге асыру;</w:t>
      </w:r>
    </w:p>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талаптардың тізбесі;</w:t>
      </w:r>
    </w:p>
    <w:p>
      <w:pPr>
        <w:spacing w:after="0"/>
        <w:ind w:left="0"/>
        <w:jc w:val="both"/>
      </w:pPr>
      <w:r>
        <w:rPr>
          <w:rFonts w:ascii="Times New Roman"/>
          <w:b w:val="false"/>
          <w:i w:val="false"/>
          <w:color w:val="000000"/>
          <w:sz w:val="28"/>
        </w:rPr>
        <w:t>
      11) техникалық реттеу саласындағы бақылау және қадағалау субъектілері (объектілері) – тауардың шығарылуы туралы сертификатты беруге уәкілетті ұйым,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p>
      <w:pPr>
        <w:spacing w:after="0"/>
        <w:ind w:left="0"/>
        <w:jc w:val="both"/>
      </w:pPr>
      <w:r>
        <w:rPr>
          <w:rFonts w:ascii="Times New Roman"/>
          <w:b w:val="false"/>
          <w:i w:val="false"/>
          <w:color w:val="000000"/>
          <w:sz w:val="28"/>
        </w:rPr>
        <w:t>
      12) техникалық реттеу саласындағы тәуекел -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r>
        <w:br/>
      </w:r>
      <w:r>
        <w:rPr>
          <w:rFonts w:ascii="Times New Roman"/>
          <w:b w:val="false"/>
          <w:i w:val="false"/>
          <w:color w:val="000000"/>
          <w:sz w:val="28"/>
        </w:rPr>
        <w:t>
</w:t>
      </w:r>
    </w:p>
    <w:bookmarkStart w:name="z152" w:id="2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 үшін техникалық реттеу саласындағы тәуекел дәрежесін бағалау өлшемшарттары кезең-кезеңімен жүзеге асырылатын объективті және субъективті өлшемшарттар арқылы қалыптастырылады (Мультикритериалдық шешімдерді талдау):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3" w:id="22"/>
    <w:p>
      <w:pPr>
        <w:spacing w:after="0"/>
        <w:ind w:left="0"/>
        <w:jc w:val="left"/>
      </w:pPr>
      <w:r>
        <w:rPr>
          <w:rFonts w:ascii="Times New Roman"/>
          <w:b/>
          <w:i w:val="false"/>
          <w:color w:val="000000"/>
        </w:rPr>
        <w:t xml:space="preserve"> 2-тарау. Объективті өлшемшарттар</w:t>
      </w:r>
    </w:p>
    <w:bookmarkEnd w:id="22"/>
    <w:bookmarkStart w:name="z154" w:id="23"/>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3"/>
    <w:bookmarkStart w:name="z155" w:id="24"/>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және қадағалау жүзеге асырылатын саланың ерекшелігіне байланысты жүзеге асырылады:</w:t>
      </w:r>
    </w:p>
    <w:bookmarkEnd w:id="24"/>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Start w:name="z156" w:id="25"/>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және қадағалау субъектілері (объектілері) тәуекелдің үш дәрежесіне (жоғары, орташа және төмен) бөлінеді.</w:t>
      </w:r>
    </w:p>
    <w:bookmarkEnd w:id="25"/>
    <w:p>
      <w:pPr>
        <w:spacing w:after="0"/>
        <w:ind w:left="0"/>
        <w:jc w:val="both"/>
      </w:pPr>
      <w:r>
        <w:rPr>
          <w:rFonts w:ascii="Times New Roman"/>
          <w:b w:val="false"/>
          <w:i w:val="false"/>
          <w:color w:val="000000"/>
          <w:sz w:val="28"/>
        </w:rPr>
        <w:t>
      Техникалық реттеу саласында объективті өлшемшарттар бойынша тәуекелдің жоғары дәрежесіне мынадай субъектілер жатады:</w:t>
      </w:r>
    </w:p>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p>
      <w:pPr>
        <w:spacing w:after="0"/>
        <w:ind w:left="0"/>
        <w:jc w:val="both"/>
      </w:pPr>
      <w:r>
        <w:rPr>
          <w:rFonts w:ascii="Times New Roman"/>
          <w:b w:val="false"/>
          <w:i w:val="false"/>
          <w:color w:val="000000"/>
          <w:sz w:val="28"/>
        </w:rPr>
        <w:t>
      2) тауардың шығу тегі туралы сертификатты беруге уәкілетті орган (ұйымдар);</w:t>
      </w:r>
    </w:p>
    <w:p>
      <w:pPr>
        <w:spacing w:after="0"/>
        <w:ind w:left="0"/>
        <w:jc w:val="both"/>
      </w:pPr>
      <w:r>
        <w:rPr>
          <w:rFonts w:ascii="Times New Roman"/>
          <w:b w:val="false"/>
          <w:i w:val="false"/>
          <w:color w:val="000000"/>
          <w:sz w:val="28"/>
        </w:rPr>
        <w:t>
      3) өзіне қатысты техникалық регламенттер қолданысқа енгізілген өнімді өткізуді, айналысқа шығаруды жүзеге асыратын жеке кәсіпкерлік субъектілері.</w:t>
      </w:r>
    </w:p>
    <w:p>
      <w:pPr>
        <w:spacing w:after="0"/>
        <w:ind w:left="0"/>
        <w:jc w:val="both"/>
      </w:pPr>
      <w:r>
        <w:rPr>
          <w:rFonts w:ascii="Times New Roman"/>
          <w:b w:val="false"/>
          <w:i w:val="false"/>
          <w:color w:val="000000"/>
          <w:sz w:val="28"/>
        </w:rPr>
        <w:t>
      Орташа тәуекел дәрежесіне: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сәйкестікті растау, аккредиттеу жөніндегі сарапшы-аудиторлар.</w:t>
      </w:r>
    </w:p>
    <w:p>
      <w:pPr>
        <w:spacing w:after="0"/>
        <w:ind w:left="0"/>
        <w:jc w:val="both"/>
      </w:pPr>
      <w:r>
        <w:rPr>
          <w:rFonts w:ascii="Times New Roman"/>
          <w:b w:val="false"/>
          <w:i w:val="false"/>
          <w:color w:val="000000"/>
          <w:sz w:val="28"/>
        </w:rPr>
        <w:t>
      Тәуекел деңгейі төмен – оқу орталықтары.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бұйрығымен.</w:t>
      </w:r>
      <w:r>
        <w:br/>
      </w:r>
      <w:r>
        <w:rPr>
          <w:rFonts w:ascii="Times New Roman"/>
          <w:b w:val="false"/>
          <w:i w:val="false"/>
          <w:color w:val="000000"/>
          <w:sz w:val="28"/>
        </w:rPr>
        <w:t>
</w:t>
      </w:r>
    </w:p>
    <w:bookmarkStart w:name="z157" w:id="26"/>
    <w:p>
      <w:pPr>
        <w:spacing w:after="0"/>
        <w:ind w:left="0"/>
        <w:jc w:val="both"/>
      </w:pPr>
      <w:r>
        <w:rPr>
          <w:rFonts w:ascii="Times New Roman"/>
          <w:b w:val="false"/>
          <w:i w:val="false"/>
          <w:color w:val="000000"/>
          <w:sz w:val="28"/>
        </w:rPr>
        <w:t>
      7. Тәуекелдің жоғары дәрежесіне жатқызылған бақылау және қадағалау субъектілері (объектілері) үшін талаптарға сәйкестігіне тексеру жүргізудің еселігі тәуекел дәрежесін бағалау өлшемшарттарымен, бірақ жылына бір реттен жиі емес айқындалады.</w:t>
      </w:r>
    </w:p>
    <w:bookmarkEnd w:id="26"/>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үш жылда бір реттен жиі емес айқындалады.</w:t>
      </w:r>
    </w:p>
    <w:bookmarkStart w:name="z158" w:id="27"/>
    <w:p>
      <w:pPr>
        <w:spacing w:after="0"/>
        <w:ind w:left="0"/>
        <w:jc w:val="both"/>
      </w:pPr>
      <w:r>
        <w:rPr>
          <w:rFonts w:ascii="Times New Roman"/>
          <w:b w:val="false"/>
          <w:i w:val="false"/>
          <w:color w:val="000000"/>
          <w:sz w:val="28"/>
        </w:rPr>
        <w:t>
      8. Жоғары немесе орташа тәуекел дәрежесіне жатқызылған бақылау және қадағалау субъектісінің (объектілерінің) қатынастарында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End w:id="27"/>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Start w:name="z159" w:id="28"/>
    <w:p>
      <w:pPr>
        <w:spacing w:after="0"/>
        <w:ind w:left="0"/>
        <w:jc w:val="left"/>
      </w:pPr>
      <w:r>
        <w:rPr>
          <w:rFonts w:ascii="Times New Roman"/>
          <w:b/>
          <w:i w:val="false"/>
          <w:color w:val="000000"/>
        </w:rPr>
        <w:t xml:space="preserve"> 3-тарау. Субъективті өлшемшарттар</w:t>
      </w:r>
    </w:p>
    <w:bookmarkEnd w:id="28"/>
    <w:bookmarkStart w:name="z160" w:id="29"/>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61" w:id="30"/>
    <w:p>
      <w:pPr>
        <w:spacing w:after="0"/>
        <w:ind w:left="0"/>
        <w:jc w:val="both"/>
      </w:pPr>
      <w:r>
        <w:rPr>
          <w:rFonts w:ascii="Times New Roman"/>
          <w:b w:val="false"/>
          <w:i w:val="false"/>
          <w:color w:val="000000"/>
          <w:sz w:val="28"/>
        </w:rPr>
        <w:t>
      10. Тәуекелдерді бағалау және профилактикалық мониторингке бару үшін келесі ақпарат көздері пайдаланылады:</w:t>
      </w:r>
    </w:p>
    <w:bookmarkEnd w:id="30"/>
    <w:p>
      <w:pPr>
        <w:spacing w:after="0"/>
        <w:ind w:left="0"/>
        <w:jc w:val="both"/>
      </w:pPr>
      <w:r>
        <w:rPr>
          <w:rFonts w:ascii="Times New Roman"/>
          <w:b w:val="false"/>
          <w:i w:val="false"/>
          <w:color w:val="000000"/>
          <w:sz w:val="28"/>
        </w:rPr>
        <w:t>
      1) бақылау және қадағалау субъектілеріне (объектілеріне) бару арқылы алдыңғы тексерулердің және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нәтижелері бойынша ресімделген қорытынды құжаттар).</w:t>
      </w:r>
    </w:p>
    <w:p>
      <w:pPr>
        <w:spacing w:after="0"/>
        <w:ind w:left="0"/>
        <w:jc w:val="both"/>
      </w:pPr>
      <w:r>
        <w:rPr>
          <w:rFonts w:ascii="Times New Roman"/>
          <w:b w:val="false"/>
          <w:i w:val="false"/>
          <w:color w:val="000000"/>
          <w:sz w:val="28"/>
        </w:rPr>
        <w:t>
      Ақпарат көзі сәйкестікті тексеруді орындау үшін алдыңғы шолулардың нәтижелерін пайдаланады.</w:t>
      </w:r>
    </w:p>
    <w:p>
      <w:pPr>
        <w:spacing w:after="0"/>
        <w:ind w:left="0"/>
        <w:jc w:val="both"/>
      </w:pPr>
      <w:r>
        <w:rPr>
          <w:rFonts w:ascii="Times New Roman"/>
          <w:b w:val="false"/>
          <w:i w:val="false"/>
          <w:color w:val="000000"/>
          <w:sz w:val="28"/>
        </w:rPr>
        <w:t>
      Қолда бар ақпарат көздерінің негізінде техникалық реттеу саласындағы мемлекеттік бақылау және қадағалау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және қадағалау субъектісіне (объектісіне) қатысты бақылау және қадағалау субъектісінің (объектісінің) сәйкестігін тексеруге және профилактикалық бақылауға назар аударуға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Барып және (немесе) талаптарға сәйкестігін тексере отырып, алдыңғы профилактикалық бақылау нәтижелері бойынша берілген бұзушылықтарды толық көлемде жойған бақылау және қадағалау субъектілеріне қатысты мемлекеттік бақылаудың келесі кезеңіне арналған кестелер мен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2" w:id="31"/>
    <w:p>
      <w:pPr>
        <w:spacing w:after="0"/>
        <w:ind w:left="0"/>
        <w:jc w:val="both"/>
      </w:pPr>
      <w:r>
        <w:rPr>
          <w:rFonts w:ascii="Times New Roman"/>
          <w:b w:val="false"/>
          <w:i w:val="false"/>
          <w:color w:val="000000"/>
          <w:sz w:val="28"/>
        </w:rPr>
        <w:t xml:space="preserve">
      11. Техникалық реттеу саласындағы бұзушылықтардың маңыздылық дәрежесіне қарай бөлетін субъективті өлшемшарттар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6-қосымшаларда</w:t>
      </w:r>
      <w:r>
        <w:rPr>
          <w:rFonts w:ascii="Times New Roman"/>
          <w:b w:val="false"/>
          <w:i w:val="false"/>
          <w:color w:val="000000"/>
          <w:sz w:val="28"/>
        </w:rPr>
        <w:t xml:space="preserve"> келтірілген.</w:t>
      </w:r>
    </w:p>
    <w:bookmarkEnd w:id="31"/>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7-қосымшада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3" w:id="32"/>
    <w:p>
      <w:pPr>
        <w:spacing w:after="0"/>
        <w:ind w:left="0"/>
        <w:jc w:val="both"/>
      </w:pPr>
      <w:r>
        <w:rPr>
          <w:rFonts w:ascii="Times New Roman"/>
          <w:b w:val="false"/>
          <w:i w:val="false"/>
          <w:color w:val="000000"/>
          <w:sz w:val="28"/>
        </w:rPr>
        <w:t>
      12.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3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Start w:name="z164" w:id="33"/>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bookmarkEnd w:id="3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bookmarkStart w:name="z181" w:id="34"/>
    <w:p>
      <w:pPr>
        <w:spacing w:after="0"/>
        <w:ind w:left="0"/>
        <w:jc w:val="both"/>
      </w:pPr>
      <w:r>
        <w:rPr>
          <w:rFonts w:ascii="Times New Roman"/>
          <w:b w:val="false"/>
          <w:i w:val="false"/>
          <w:color w:val="000000"/>
          <w:sz w:val="28"/>
        </w:rPr>
        <w:t>
      13-1.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7-қосымшаға сәйкес нысан бойынша субъективті өлшемшарттар тізбесіне сәйкес жүзеге асырылады.</w:t>
      </w:r>
    </w:p>
    <w:bookmarkEnd w:id="34"/>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     </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өлшемшарттары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бойынша тәуекел дәрежесінің аралық көрсеткіші.</w:t>
      </w:r>
      <w:r>
        <w:br/>
      </w:r>
      <w:r>
        <w:rPr>
          <w:rFonts w:ascii="Times New Roman"/>
          <w:b w:val="false"/>
          <w:i w:val="false"/>
          <w:color w:val="000000"/>
          <w:sz w:val="28"/>
        </w:rPr>
        <w:t>
</w:t>
      </w:r>
      <w:r>
        <w:rPr>
          <w:rFonts w:ascii="Times New Roman"/>
          <w:b w:val="false"/>
          <w:i w:val="false"/>
          <w:color w:val="ff0000"/>
          <w:sz w:val="28"/>
        </w:rPr>
        <w:t xml:space="preserve">      Ескерту. Өлшемшарттар 13-1-тармақпен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5" w:id="35"/>
    <w:p>
      <w:pPr>
        <w:spacing w:after="0"/>
        <w:ind w:left="0"/>
        <w:jc w:val="left"/>
      </w:pPr>
      <w:r>
        <w:rPr>
          <w:rFonts w:ascii="Times New Roman"/>
          <w:b/>
          <w:i w:val="false"/>
          <w:color w:val="000000"/>
        </w:rPr>
        <w:t xml:space="preserve"> 4-тарау. Тәуекелдерді басқару</w:t>
      </w:r>
    </w:p>
    <w:bookmarkEnd w:id="35"/>
    <w:bookmarkStart w:name="z166" w:id="36"/>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және қадағалау субъектілері (объектілері) субъективті өлшемшарттарды қолдану арқылы техникалық реттеу саласындағы мемлекеттік бақылау және қадағалау органының тәуекел дәрежесін бағалау өлшемшарттарымен айқындалатын кезеңге бақылау және қадағалау субъектісіне (объектісіне) және (немесе) талаптарға сәйкестігін тексеруге бара отырып, профилактикалық бақылау жүргізуден босатылады.</w:t>
      </w:r>
    </w:p>
    <w:bookmarkEnd w:id="36"/>
    <w:bookmarkStart w:name="z167" w:id="37"/>
    <w:p>
      <w:pPr>
        <w:spacing w:after="0"/>
        <w:ind w:left="0"/>
        <w:jc w:val="both"/>
      </w:pPr>
      <w:r>
        <w:rPr>
          <w:rFonts w:ascii="Times New Roman"/>
          <w:b w:val="false"/>
          <w:i w:val="false"/>
          <w:color w:val="000000"/>
          <w:sz w:val="28"/>
        </w:rPr>
        <w:t>
      15. Бақылау және қадағалау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техникалық реттеу саласында тәуекелдің төмен дәрежесіне ауыстырылады:</w:t>
      </w:r>
    </w:p>
    <w:bookmarkEnd w:id="3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p>
      <w:pPr>
        <w:spacing w:after="0"/>
        <w:ind w:left="0"/>
        <w:jc w:val="both"/>
      </w:pPr>
      <w:r>
        <w:rPr>
          <w:rFonts w:ascii="Times New Roman"/>
          <w:b w:val="false"/>
          <w:i w:val="false"/>
          <w:color w:val="000000"/>
          <w:sz w:val="28"/>
        </w:rPr>
        <w:t>
      2) егер Қазақстан Республикасының заңдарында және техникалық реттеу саласындағы мемлекеттік бақылау және қадағалау органының тәуекел дәрежесін бағалау өлшемшарттарында бақылау және қадағалау субъектісіне (объектісіне) бару немесе талаптарға сәйкестігіне тексерулер жүргізу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Start w:name="z168" w:id="38"/>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3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техникалық бақылау және қадағалау саласындағы осындай бақылау және қадағалау субъектілерінің жалпы санының бес пайызынан аспауға тиіс реттеу.</w:t>
      </w:r>
    </w:p>
    <w:bookmarkStart w:name="z183" w:id="39"/>
    <w:p>
      <w:pPr>
        <w:spacing w:after="0"/>
        <w:ind w:left="0"/>
        <w:jc w:val="left"/>
      </w:pPr>
      <w:r>
        <w:rPr>
          <w:rFonts w:ascii="Times New Roman"/>
          <w:b/>
          <w:i w:val="false"/>
          <w:color w:val="000000"/>
        </w:rPr>
        <w:t xml:space="preserve"> 4-1-тарау. Техникалық реттеу саласындағы жедел ден қою шаралары</w:t>
      </w:r>
    </w:p>
    <w:bookmarkEnd w:id="39"/>
    <w:p>
      <w:pPr>
        <w:spacing w:after="0"/>
        <w:ind w:left="0"/>
        <w:jc w:val="both"/>
      </w:pPr>
      <w:r>
        <w:rPr>
          <w:rFonts w:ascii="Times New Roman"/>
          <w:b w:val="false"/>
          <w:i w:val="false"/>
          <w:color w:val="ff0000"/>
          <w:sz w:val="28"/>
        </w:rPr>
        <w:t xml:space="preserve">
      Ескерту. Бағалау өлшемшарттары 4-1-тараумен толықтырылды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-НҚ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bookmarkStart w:name="z184" w:id="40"/>
    <w:p>
      <w:pPr>
        <w:spacing w:after="0"/>
        <w:ind w:left="0"/>
        <w:jc w:val="both"/>
      </w:pPr>
      <w:r>
        <w:rPr>
          <w:rFonts w:ascii="Times New Roman"/>
          <w:b w:val="false"/>
          <w:i w:val="false"/>
          <w:color w:val="000000"/>
          <w:sz w:val="28"/>
        </w:rPr>
        <w:t>
      16-1. Жедел ден қою шараларын қолдануға негіз болып табылатын талаптардың тізбесі осы бірлескен бұйрықтың 5-қосымшаға сәйкес тексеру парақтарында, осы бірлескен бұйрықпен бекітілген келтірілген.</w:t>
      </w:r>
    </w:p>
    <w:bookmarkEnd w:id="40"/>
    <w:bookmarkStart w:name="z185" w:id="41"/>
    <w:p>
      <w:pPr>
        <w:spacing w:after="0"/>
        <w:ind w:left="0"/>
        <w:jc w:val="both"/>
      </w:pPr>
      <w:r>
        <w:rPr>
          <w:rFonts w:ascii="Times New Roman"/>
          <w:b w:val="false"/>
          <w:i w:val="false"/>
          <w:color w:val="000000"/>
          <w:sz w:val="28"/>
        </w:rPr>
        <w:t xml:space="preserve">
      16-2.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17, 27, 29, 32, 33, 34, 50, 51, 54, 57, 73, 76, 103, 105, 140, 163, 164, 172, 181, 182, 187, 192, 197, 202, 234, 235, 238, 243, 245, 247, 253, 254, 259, 285, 289, 290, 292, 293, 295, 303, 304, 333, 346, 364, 380, 396, 397, 458, 464, 487, 500, 560, 566, 572, 582, 602, 606, 637, 640, 662 және 663 бұзу негіз болып табылатын отыз күнтізбелік күн мерзімге тыйым салу түріндегі жедел ден қою шараларын қолдану.</w:t>
      </w:r>
    </w:p>
    <w:bookmarkEnd w:id="41"/>
    <w:bookmarkStart w:name="z186" w:id="42"/>
    <w:p>
      <w:pPr>
        <w:spacing w:after="0"/>
        <w:ind w:left="0"/>
        <w:jc w:val="both"/>
      </w:pPr>
      <w:r>
        <w:rPr>
          <w:rFonts w:ascii="Times New Roman"/>
          <w:b w:val="false"/>
          <w:i w:val="false"/>
          <w:color w:val="000000"/>
          <w:sz w:val="28"/>
        </w:rPr>
        <w:t xml:space="preserve">
      16-3.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24, 77, 93, 96, 155, 166, 168, 186, 190, 210, 225, 233, 242, 244, 255, 294, 293, 309, 342, 361, 372, 373, 382, 389, 429, 467, 486, 492, 558, 562, 579, 581, 615, 659, 666 и 680 бұзу негіз болып табылатын алып қою түріндегі жедел ден қою шараларын қолдану.</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70" w:id="43"/>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43"/>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988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87" w:id="44"/>
    <w:p>
      <w:pPr>
        <w:spacing w:after="0"/>
        <w:ind w:left="0"/>
        <w:jc w:val="left"/>
      </w:pPr>
      <w:r>
        <w:rPr>
          <w:rFonts w:ascii="Times New Roman"/>
          <w:b/>
          <w:i w:val="false"/>
          <w:color w:val="000000"/>
        </w:rPr>
        <w:t xml:space="preserve"> Талаптарға сәйкестігіне тексеру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44"/>
    <w:p>
      <w:pPr>
        <w:spacing w:after="0"/>
        <w:ind w:left="0"/>
        <w:jc w:val="both"/>
      </w:pPr>
      <w:r>
        <w:rPr>
          <w:rFonts w:ascii="Times New Roman"/>
          <w:b w:val="false"/>
          <w:i w:val="false"/>
          <w:color w:val="ff0000"/>
          <w:sz w:val="28"/>
        </w:rPr>
        <w:t xml:space="preserve">
      Ескерту. 2-қосымша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Республикасының Мемлекеттік Елтаңбасының әрбір жүргізілетін үлгі өлшемінің мастер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оң нәтижесі қоса берілген Қазақстан Республикасы Мемлекеттік Елтаңбасының әрбір жүргізілетін үлгі өлшемінің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88" w:id="45"/>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оқу орталықтарына қатысты техникалық реттеу саласындағы бақылау субъектілеріне (объектілеріне) қойылатын талаптардың бұзылу дәрежесі</w:t>
      </w:r>
    </w:p>
    <w:bookmarkEnd w:id="45"/>
    <w:p>
      <w:pPr>
        <w:spacing w:after="0"/>
        <w:ind w:left="0"/>
        <w:jc w:val="both"/>
      </w:pPr>
      <w:r>
        <w:rPr>
          <w:rFonts w:ascii="Times New Roman"/>
          <w:b w:val="false"/>
          <w:i w:val="false"/>
          <w:color w:val="ff0000"/>
          <w:sz w:val="28"/>
        </w:rPr>
        <w:t xml:space="preserve">
      Ескерту. 3-қосымша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жарияланған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89" w:id="46"/>
    <w:p>
      <w:pPr>
        <w:spacing w:after="0"/>
        <w:ind w:left="0"/>
        <w:jc w:val="left"/>
      </w:pPr>
      <w:r>
        <w:rPr>
          <w:rFonts w:ascii="Times New Roman"/>
          <w:b/>
          <w:i w:val="false"/>
          <w:color w:val="000000"/>
        </w:rPr>
        <w:t xml:space="preserve"> Техникалық реттеу саласындағы бақылау субъектілеріне (объектілеріне) тауардың шығу тегі туралы сертификатты беруге уәкілетті органға (ұйымға) қатысты бару арқылы профилактикалық бақылауды және жоспардан тыс тексерулерді жүргізу кезінде талаптардың бұзылу дәрежесі</w:t>
      </w:r>
    </w:p>
    <w:bookmarkEnd w:id="46"/>
    <w:p>
      <w:pPr>
        <w:spacing w:after="0"/>
        <w:ind w:left="0"/>
        <w:jc w:val="both"/>
      </w:pPr>
      <w:r>
        <w:rPr>
          <w:rFonts w:ascii="Times New Roman"/>
          <w:b w:val="false"/>
          <w:i w:val="false"/>
          <w:color w:val="ff0000"/>
          <w:sz w:val="28"/>
        </w:rPr>
        <w:t xml:space="preserve">
      Ескерту. 4-қосымша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бару арқылы профилактикалық бақылау және жоспардан тыс тексерулер жүргізу кезінде Қазақстан Республикасының азаматтық заңнамасына сәйкес иелену, пайдалану және (немесе) билік ету құқығы бар жеке және заңды тұлғаларға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 құжаттарда, жадынамаларда (қосымша парақтарда, ақпараттық парақтарда) 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одан әрі пайдалану немесе оның нарықта айналысы үшін техникалық регламенттерде белгіленген талаптарға сәйкестігін міндетті растау рәсімін жүргізудің дайындаушы тұлға, импорттаушы немесе сатушы уәкілеттік берген дайындаушының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заңнамасына сәйкес алып қойылған өнімді қадағалау субъектісімен жасалған сақтау шарты негізінде қадағалау субъектісінде немесе үшінші тұлғада сақтау үшін үй-жаймен қамтамасыз ету бойынша дайындаушының, дайындаушы тұлға, импорттаушы немесе сатушының уәкілеттік берген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өнімге стандарттау жөніндегі нормативтік құжаттардың талаптарына және таңбалауда немесе өнімге арналған тауарға ілеспе құжаттарда көрсетілген сақтау шарттарына сәйкес өндірушінің, дайындаушы тұлға, импорттаушы немесе сатушының алып қойылған өнімді сақтау жөніндегі уәкілеттік берген қадағалау субъектісінің немесе алып қойылған өнімді сақтауды жүзеге асыратын үшінші тұлғаның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ҚОЙЫЛДЫ, ӨНІМ ТЕХНИКАЛЫҚ РЕГЛАМЕНТ ТАЛАПТАРЫНА СӘЙКЕС КЕЛМЕЙДІ" деген жазуы бар алып қойылған өнімді сақтауды қамтамасыз ету және оптикалық құрылғыларды қолданбай ақпаратты оқу мүмкіндігін қамтамасыз ете отырып, фон мен жазудың түстері арасындағы қарама-қайшылықты ескере отырып, осы жазуды енгізу бойынша дайындаушының, дайындаушы тұлға, импорттаушы немесе сатушы уәкілеттік берген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 бойынша дайындаушы тұлға, импорттаушы немесе сатушы уәкілеттік берген дайындаушының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сыналған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сыналған әдістемелерге негізделген есептеулер кешенін жүргізу;</w:t>
            </w:r>
          </w:p>
          <w:p>
            <w:pPr>
              <w:spacing w:after="20"/>
              <w:ind w:left="20"/>
              <w:jc w:val="both"/>
            </w:pPr>
            <w:r>
              <w:rPr>
                <w:rFonts w:ascii="Times New Roman"/>
                <w:b w:val="false"/>
                <w:i w:val="false"/>
                <w:color w:val="000000"/>
                <w:sz w:val="20"/>
              </w:rPr>
              <w:t>
5) пайдалану параметрлері мен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өнімді кәдеге жарату шарттары мен тәсілдерін айқындау;</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пайдалану жөніндегі нұсқаулықта қайталай және түсіндіре отырып, жақсы ажыратылатын сәйкестендіру және ескерту жазбалары мен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w:t>
            </w:r>
          </w:p>
          <w:p>
            <w:pPr>
              <w:spacing w:after="20"/>
              <w:ind w:left="20"/>
              <w:jc w:val="both"/>
            </w:pPr>
            <w:r>
              <w:rPr>
                <w:rFonts w:ascii="Times New Roman"/>
                <w:b w:val="false"/>
                <w:i w:val="false"/>
                <w:color w:val="000000"/>
                <w:sz w:val="20"/>
              </w:rPr>
              <w:t>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w:t>
            </w:r>
          </w:p>
          <w:p>
            <w:pPr>
              <w:spacing w:after="20"/>
              <w:ind w:left="20"/>
              <w:jc w:val="both"/>
            </w:pPr>
            <w:r>
              <w:rPr>
                <w:rFonts w:ascii="Times New Roman"/>
                <w:b w:val="false"/>
                <w:i w:val="false"/>
                <w:color w:val="000000"/>
                <w:sz w:val="20"/>
              </w:rPr>
              <w:t>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w:t>
            </w:r>
          </w:p>
          <w:p>
            <w:pPr>
              <w:spacing w:after="20"/>
              <w:ind w:left="20"/>
              <w:jc w:val="both"/>
            </w:pPr>
            <w:r>
              <w:rPr>
                <w:rFonts w:ascii="Times New Roman"/>
                <w:b w:val="false"/>
                <w:i w:val="false"/>
                <w:color w:val="000000"/>
                <w:sz w:val="20"/>
              </w:rPr>
              <w:t>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w:t>
            </w:r>
          </w:p>
          <w:p>
            <w:pPr>
              <w:spacing w:after="20"/>
              <w:ind w:left="20"/>
              <w:jc w:val="both"/>
            </w:pPr>
            <w:r>
              <w:rPr>
                <w:rFonts w:ascii="Times New Roman"/>
                <w:b w:val="false"/>
                <w:i w:val="false"/>
                <w:color w:val="000000"/>
                <w:sz w:val="20"/>
              </w:rPr>
              <w:t>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w:t>
            </w:r>
          </w:p>
          <w:p>
            <w:pPr>
              <w:spacing w:after="20"/>
              <w:ind w:left="20"/>
              <w:jc w:val="both"/>
            </w:pPr>
            <w:r>
              <w:rPr>
                <w:rFonts w:ascii="Times New Roman"/>
                <w:b w:val="false"/>
                <w:i w:val="false"/>
                <w:color w:val="000000"/>
                <w:sz w:val="20"/>
              </w:rPr>
              <w:t>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қажет болған жағдайда қызмет көрсетуші персонал мен жолаушыларды авариялық эвакуациялау құралдары бар вагонның әр жағынан авариялық шығатын арнайы теміржол жылжымалы құрамын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w:t>
            </w:r>
          </w:p>
          <w:p>
            <w:pPr>
              <w:spacing w:after="20"/>
              <w:ind w:left="20"/>
              <w:jc w:val="both"/>
            </w:pPr>
            <w:r>
              <w:rPr>
                <w:rFonts w:ascii="Times New Roman"/>
                <w:b w:val="false"/>
                <w:i w:val="false"/>
                <w:color w:val="000000"/>
                <w:sz w:val="20"/>
              </w:rPr>
              <w:t>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w:t>
            </w:r>
          </w:p>
          <w:p>
            <w:pPr>
              <w:spacing w:after="20"/>
              <w:ind w:left="20"/>
              <w:jc w:val="both"/>
            </w:pPr>
            <w:r>
              <w:rPr>
                <w:rFonts w:ascii="Times New Roman"/>
                <w:b w:val="false"/>
                <w:i w:val="false"/>
                <w:color w:val="000000"/>
                <w:sz w:val="20"/>
              </w:rPr>
              <w:t>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электр жабдығының шамадан тыс жүктелуі, қысқа тұйықталу, жерге тұйықталу кезінде, электр жабдығының аса кернеулері туындаған кезде, сондай-ақ регенеративті тежеу, доңғалақ жұптарын сүйреу және пайдалану кезінде жанасу желісіндегі кернеуді алу кезінде іске қосылатын, электр жабдығының зақымдануын және мынадай: түтінге әкелетін жол берілмейтін қыздыру түріндегі қауіпті салдарларды болдырмайтын жоғары жылдамдықты темір жол жылжымалы құрамының қорғанысы мен дабылының болуы немесе электр жабдығының оқшаулауының бұзылуына әкелетін тұтану және асқын кернеулер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қорғалмаған (оқшауланбаған) бөліктерінде кернеудегі жоғары жылдамдықты темір жол жылжымалы құрамының, оларға қызмет көрсетуші персонал мен жолаушылардың кездейсоқ кіруінен қорғаудың болуы. жоғары жылдамдықты теміржол жылжымалы құрамының корпусына жерге тұйықтау арқылы.</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ашық күйде бекіте отырып, штаттық схема бойынша авариялық ашуды қамтамасыз ету.</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w:t>
            </w:r>
          </w:p>
          <w:p>
            <w:pPr>
              <w:spacing w:after="20"/>
              <w:ind w:left="20"/>
              <w:jc w:val="both"/>
            </w:pPr>
            <w:r>
              <w:rPr>
                <w:rFonts w:ascii="Times New Roman"/>
                <w:b w:val="false"/>
                <w:i w:val="false"/>
                <w:color w:val="000000"/>
                <w:sz w:val="20"/>
              </w:rPr>
              <w:t>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етеді:</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 теміржолмен электрмен жабдықтаудың құрамдас бөліктерінің элементтерімен жасалатын радиокедергілер деңгейі рұқсат етілген мәннен жоғары емес;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 байланыс желісінің тірек конструкцияларының орта бөлігіндегі салыстырмалы ауытқу рұқсат етілген мәннен артық емес; диодты жерлендіргіштің кері кернеуі рұқсат етілген мәннен кем емес; рұқсат етілген мәндер шегінде түйісу станцияларын қорғау құрылғыларының іске қосылуының импульсті кернеуі; электромагниттік өрістердің қауіпті және зиянды әсерінен қорғаудың қажетті деңгейі;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 теміржол жылжымалы құрамының теміржол жылжымалы құрамы орналасқан теміржол учаскесіне кіруін болдырмау (бұғаттау) ;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пойыздың жақындағаны туралы автоматты хабарландыру;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 құрамдарды есептік (жобалық) жылдамдықпен үздіксіз, үздіксіз және қауіпсіз тарату, вагондарды сұрыптау қауіпсіздігі; жеке көрсеткілерді басқару; теміржол жылжымалы құрамының тарату аймағына шығуын болдырмау; бағыттамалардың жағдайын және бағыттамалы секциялардың бос еместігін бақылау; темір жол жылжымалы құрамы астындағы бағыттаманы ауыстыруға жол бермеу;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 мортирде пайда болатын ең жоғары қысымның мәні(іске қосу жабдығына өзге де күштік әсерлер); шығарылатын әсерлердің сипаттамасы; үзілу (көтерілу) биіктігін көрсету; пироэлементтердің жанып бітуінің мүмкін биіктігін көрсету; желдің жылдамдығына байланысты қауіпті аймақтың радиусы; баяулау уақыты (от өткізгіш элементі бар бұйымдар үшін);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 IV кластан жоғары қауіп болмау;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 пайдаланылатын пиротехникалық құрамдардың қасиеттерін; пиротехникалық бұйымдардың сыртқы факторлардың әсеріне сезімталдығы; пиротехникалық бұйым конструкциясының және оның орауышының ерекшеліктері; пиротехникалық бұйымдарды пайдалану тәсілдері мен шарттары;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салу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 жанарғысының іске қосу қуаты мен тұтану уақытын, қайта тұтану талпыныстарының санын, өртенбеген газдың қауіпті жиналуын болдырмау үшін жалынды сөндіру кезінде газ беруді ажырату уақытын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жанбаған газдың жиналуын болдырмауды қамтамасыз ететін газ пайдалану жабдығы құрылғысының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газ пайдаланушы жабдыққа іргелес беттердің жану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жабдығымен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атмосфералық ауаның жай-күйін бақылауға және үй-жайдың ауасындағы көміртегі тотығы концентрациясы шекті рұқсат етілген концентрациядан асып кеткен кезде жанарғыларға газ беруді тоқтатуға арналған сору құрылғысымен жабдықталмаған жылыту және су жылыту газ пайдалану жабдығының қауіпсіздік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нұсқаулықта (нұсқаулықта) тиісті аударым және түсініктеме берілген жағдайда көрсетілген талап мыналарға қатысты қолданылмайды:</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талаптарын сақтау,</w:t>
            </w:r>
          </w:p>
          <w:p>
            <w:pPr>
              <w:spacing w:after="20"/>
              <w:ind w:left="20"/>
              <w:jc w:val="both"/>
            </w:pPr>
            <w:r>
              <w:rPr>
                <w:rFonts w:ascii="Times New Roman"/>
                <w:b w:val="false"/>
                <w:i w:val="false"/>
                <w:color w:val="000000"/>
                <w:sz w:val="20"/>
              </w:rPr>
              <w:t>
оған сәйкес техникалық құрал оны мақсаты бойынша қолданған және монтаждауға, пайдалануға (пайдалануға), сақтауға, тасымалдауға (тасымалдауға) және техникалық қызмет көрсетуге қойылатын талаптарды орындаған кезде техникалық құрал құратын электромагниттік кедергілер байланыс құралдары мен техникалық құралдардың олардың мақсатына сәйкес жұмыс істеуін қамтамасыз ететін деңгейден аспайтындай етіп әзірленді және дайындалды.</w:t>
            </w:r>
          </w:p>
          <w:p>
            <w:pPr>
              <w:spacing w:after="20"/>
              <w:ind w:left="20"/>
              <w:jc w:val="both"/>
            </w:pPr>
            <w:r>
              <w:rPr>
                <w:rFonts w:ascii="Times New Roman"/>
                <w:b w:val="false"/>
                <w:i w:val="false"/>
                <w:color w:val="000000"/>
                <w:sz w:val="20"/>
              </w:rPr>
              <w:t>
Электромагниттік жағдайда оның жұмыс істеуін қамтамасыз ететін электромагниттік кедергілерге (шуға төзімділік) төзімділік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жөніндегі талаптың сақталуы, оған сәйкес егер техникалық құрал туралы мәліметтерді осы Техникалық құралға қолдану мүмкін болмаса, бұл мәліметтер осы Техникалық құралға қоса берілетін пайдалану құжаттарында ғана көрсетіледі.</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пайдалана отырып бөлшектемей-ақ тексеруге қолжетімді жерде техникалық құралға оңай оқылатын және жағылатын техникалық құралдың анық таңбалануының болуына электромагниттік үйлесімділік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 қағаз жеткізгіштерде орындай отырып, Еуразиялық экономикалық одаққа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Оларға электрондық жеткізгіштердегі пайдалану құжаттарының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шағын көлемді кемеде шағын көлемді кемені жасаушы мынадай ақпаратты қамтуға таңбалау тақтайшасын орнатуы және бекіту талаптарды сақтау:</w:t>
            </w:r>
          </w:p>
          <w:p>
            <w:pPr>
              <w:spacing w:after="20"/>
              <w:ind w:left="20"/>
              <w:jc w:val="both"/>
            </w:pPr>
            <w:r>
              <w:rPr>
                <w:rFonts w:ascii="Times New Roman"/>
                <w:b w:val="false"/>
                <w:i w:val="false"/>
                <w:color w:val="000000"/>
                <w:sz w:val="20"/>
              </w:rPr>
              <w:t>
1) шағын көлемді кемені жасаушы ұйымның немесе дайындаушының атауы, орналасқан жері (заңды мекенжайы мен елін қоса алғанда) және фирмалық белгісі;</w:t>
            </w:r>
          </w:p>
          <w:p>
            <w:pPr>
              <w:spacing w:after="20"/>
              <w:ind w:left="20"/>
              <w:jc w:val="both"/>
            </w:pPr>
            <w:r>
              <w:rPr>
                <w:rFonts w:ascii="Times New Roman"/>
                <w:b w:val="false"/>
                <w:i w:val="false"/>
                <w:color w:val="000000"/>
                <w:sz w:val="20"/>
              </w:rPr>
              <w:t>
2) шағын көлемді кемені жасаушыны есепке алу жүйесі бойынша сәйкестендіру нөмірі;</w:t>
            </w:r>
          </w:p>
          <w:p>
            <w:pPr>
              <w:spacing w:after="20"/>
              <w:ind w:left="20"/>
              <w:jc w:val="both"/>
            </w:pPr>
            <w:r>
              <w:rPr>
                <w:rFonts w:ascii="Times New Roman"/>
                <w:b w:val="false"/>
                <w:i w:val="false"/>
                <w:color w:val="000000"/>
                <w:sz w:val="20"/>
              </w:rPr>
              <w:t>
3) шағын көлемді кемені жасау күні;</w:t>
            </w:r>
          </w:p>
          <w:p>
            <w:pPr>
              <w:spacing w:after="20"/>
              <w:ind w:left="20"/>
              <w:jc w:val="both"/>
            </w:pPr>
            <w:r>
              <w:rPr>
                <w:rFonts w:ascii="Times New Roman"/>
                <w:b w:val="false"/>
                <w:i w:val="false"/>
                <w:color w:val="000000"/>
                <w:sz w:val="20"/>
              </w:rPr>
              <w:t>
4) шағын көлемді кеменің типі;</w:t>
            </w:r>
          </w:p>
          <w:p>
            <w:pPr>
              <w:spacing w:after="20"/>
              <w:ind w:left="20"/>
              <w:jc w:val="both"/>
            </w:pPr>
            <w:r>
              <w:rPr>
                <w:rFonts w:ascii="Times New Roman"/>
                <w:b w:val="false"/>
                <w:i w:val="false"/>
                <w:color w:val="000000"/>
                <w:sz w:val="20"/>
              </w:rPr>
              <w:t>
5) жобаның нөмірі (белгіленуі) (бар болса);</w:t>
            </w:r>
          </w:p>
          <w:p>
            <w:pPr>
              <w:spacing w:after="20"/>
              <w:ind w:left="20"/>
              <w:jc w:val="both"/>
            </w:pPr>
            <w:r>
              <w:rPr>
                <w:rFonts w:ascii="Times New Roman"/>
                <w:b w:val="false"/>
                <w:i w:val="false"/>
                <w:color w:val="000000"/>
                <w:sz w:val="20"/>
              </w:rPr>
              <w:t>
6) ең жоғары жүк көтергіштігі немесе борттағы адамдардың саны;</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корпусының конструкциясы, оның элементтерінің өлшемдері мен өзара орналасуы қамтамасыз етілу талаптарды сақтау:</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спецификациялық шарттарына сәйкес келетін жүктемелер кезінде шағын көлемді кемелердің орнықтылығы мен суға батпайтындығына сәйкестігі.</w:t>
            </w:r>
          </w:p>
          <w:p>
            <w:pPr>
              <w:spacing w:after="20"/>
              <w:ind w:left="20"/>
              <w:jc w:val="both"/>
            </w:pPr>
            <w:r>
              <w:rPr>
                <w:rFonts w:ascii="Times New Roman"/>
                <w:b w:val="false"/>
                <w:i w:val="false"/>
                <w:color w:val="000000"/>
                <w:sz w:val="20"/>
              </w:rPr>
              <w:t>
5) адамдардың тұрақты және уақытша болатын барлық орындарында, сондай-ақ адамдардың өтетін орындарында сырғанаудың, биіктіктен және бортқа құлаудың алдын алу жөніндегі шаралар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w:t>
            </w:r>
          </w:p>
          <w:p>
            <w:pPr>
              <w:spacing w:after="20"/>
              <w:ind w:left="20"/>
              <w:jc w:val="both"/>
            </w:pPr>
            <w:r>
              <w:rPr>
                <w:rFonts w:ascii="Times New Roman"/>
                <w:b w:val="false"/>
                <w:i w:val="false"/>
                <w:color w:val="000000"/>
                <w:sz w:val="20"/>
              </w:rPr>
              <w:t>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w:t>
            </w:r>
          </w:p>
          <w:p>
            <w:pPr>
              <w:spacing w:after="20"/>
              <w:ind w:left="20"/>
              <w:jc w:val="both"/>
            </w:pPr>
            <w:r>
              <w:rPr>
                <w:rFonts w:ascii="Times New Roman"/>
                <w:b w:val="false"/>
                <w:i w:val="false"/>
                <w:color w:val="000000"/>
                <w:sz w:val="20"/>
              </w:rPr>
              <w:t>
Өздігінен жүрмейтін және ескекті шағын көлемді кемелерді көрсетілген құрылғылармен жабдықтамауға жол беріледі.</w:t>
            </w:r>
          </w:p>
          <w:p>
            <w:pPr>
              <w:spacing w:after="20"/>
              <w:ind w:left="20"/>
              <w:jc w:val="both"/>
            </w:pPr>
            <w:r>
              <w:rPr>
                <w:rFonts w:ascii="Times New Roman"/>
                <w:b w:val="false"/>
                <w:i w:val="false"/>
                <w:color w:val="000000"/>
                <w:sz w:val="20"/>
              </w:rPr>
              <w:t>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көзделген.</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w:t>
            </w:r>
          </w:p>
          <w:p>
            <w:pPr>
              <w:spacing w:after="20"/>
              <w:ind w:left="20"/>
              <w:jc w:val="both"/>
            </w:pPr>
            <w:r>
              <w:rPr>
                <w:rFonts w:ascii="Times New Roman"/>
                <w:b w:val="false"/>
                <w:i w:val="false"/>
                <w:color w:val="000000"/>
                <w:sz w:val="20"/>
              </w:rPr>
              <w:t>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4,8%-дан аспайтын көміртегі тотығынан тұратындай етіп жобалану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w:t>
            </w:r>
          </w:p>
          <w:p>
            <w:pPr>
              <w:spacing w:after="20"/>
              <w:ind w:left="20"/>
              <w:jc w:val="both"/>
            </w:pPr>
            <w:r>
              <w:rPr>
                <w:rFonts w:ascii="Times New Roman"/>
                <w:b w:val="false"/>
                <w:i w:val="false"/>
                <w:color w:val="000000"/>
                <w:sz w:val="20"/>
              </w:rPr>
              <w:t>
Жану нүктесі 60 градустан төмен сұйық отын кеме корпусымен (тасымалданатын) жалпы бөлігін құрмайтын танктерде сақталуға және:</w:t>
            </w:r>
          </w:p>
          <w:p>
            <w:pPr>
              <w:spacing w:after="20"/>
              <w:ind w:left="20"/>
              <w:jc w:val="both"/>
            </w:pPr>
            <w:r>
              <w:rPr>
                <w:rFonts w:ascii="Times New Roman"/>
                <w:b w:val="false"/>
                <w:i w:val="false"/>
                <w:color w:val="000000"/>
                <w:sz w:val="20"/>
              </w:rPr>
              <w:t>
1) жылу сәулелену көздерінің әсерінен қорғалған;</w:t>
            </w:r>
          </w:p>
          <w:p>
            <w:pPr>
              <w:spacing w:after="20"/>
              <w:ind w:left="20"/>
              <w:jc w:val="both"/>
            </w:pPr>
            <w:r>
              <w:rPr>
                <w:rFonts w:ascii="Times New Roman"/>
                <w:b w:val="false"/>
                <w:i w:val="false"/>
                <w:color w:val="000000"/>
                <w:sz w:val="20"/>
              </w:rPr>
              <w:t>
2) тұрғын үй-жайлардан бөлінген болуға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санитариялық-тұрмыстық және тұрғын үй-жайларының санитариялық-эпидемиологиялық талаптарға сәйкестігі.</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өрттің пайда болуының ықтимал себептерін ескере отырып, жинақталған өртке қарсы жабдықтар мен мүліктің болуы.</w:t>
            </w:r>
          </w:p>
          <w:p>
            <w:pPr>
              <w:spacing w:after="20"/>
              <w:ind w:left="20"/>
              <w:jc w:val="both"/>
            </w:pPr>
            <w:r>
              <w:rPr>
                <w:rFonts w:ascii="Times New Roman"/>
                <w:b w:val="false"/>
                <w:i w:val="false"/>
                <w:color w:val="000000"/>
                <w:sz w:val="20"/>
              </w:rPr>
              <w:t>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w:t>
            </w:r>
          </w:p>
          <w:p>
            <w:pPr>
              <w:spacing w:after="20"/>
              <w:ind w:left="20"/>
              <w:jc w:val="both"/>
            </w:pPr>
            <w:r>
              <w:rPr>
                <w:rFonts w:ascii="Times New Roman"/>
                <w:b w:val="false"/>
                <w:i w:val="false"/>
                <w:color w:val="000000"/>
                <w:sz w:val="20"/>
              </w:rPr>
              <w:t>
Барлық электр тізбектерін шамадан тыс жүктемелерден және қысқа тұйықталудан қорғауды қамтамасыз етіңіз.</w:t>
            </w:r>
          </w:p>
          <w:p>
            <w:pPr>
              <w:spacing w:after="20"/>
              <w:ind w:left="20"/>
              <w:jc w:val="both"/>
            </w:pPr>
            <w:r>
              <w:rPr>
                <w:rFonts w:ascii="Times New Roman"/>
                <w:b w:val="false"/>
                <w:i w:val="false"/>
                <w:color w:val="000000"/>
                <w:sz w:val="20"/>
              </w:rPr>
              <w:t>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w:t>
            </w:r>
          </w:p>
          <w:p>
            <w:pPr>
              <w:spacing w:after="20"/>
              <w:ind w:left="20"/>
              <w:jc w:val="both"/>
            </w:pPr>
            <w:r>
              <w:rPr>
                <w:rFonts w:ascii="Times New Roman"/>
                <w:b w:val="false"/>
                <w:i w:val="false"/>
                <w:color w:val="000000"/>
                <w:sz w:val="20"/>
              </w:rPr>
              <w:t>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w:t>
            </w:r>
          </w:p>
          <w:p>
            <w:pPr>
              <w:spacing w:after="20"/>
              <w:ind w:left="20"/>
              <w:jc w:val="both"/>
            </w:pPr>
            <w:r>
              <w:rPr>
                <w:rFonts w:ascii="Times New Roman"/>
                <w:b w:val="false"/>
                <w:i w:val="false"/>
                <w:color w:val="000000"/>
                <w:sz w:val="20"/>
              </w:rPr>
              <w:t>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материалдарының жанбауы.</w:t>
            </w:r>
          </w:p>
          <w:p>
            <w:pPr>
              <w:spacing w:after="20"/>
              <w:ind w:left="20"/>
              <w:jc w:val="both"/>
            </w:pPr>
            <w:r>
              <w:rPr>
                <w:rFonts w:ascii="Times New Roman"/>
                <w:b w:val="false"/>
                <w:i w:val="false"/>
                <w:color w:val="000000"/>
                <w:sz w:val="20"/>
              </w:rPr>
              <w:t>
600 С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жабылуы.</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w:t>
            </w:r>
          </w:p>
          <w:p>
            <w:pPr>
              <w:spacing w:after="20"/>
              <w:ind w:left="20"/>
              <w:jc w:val="both"/>
            </w:pPr>
            <w:r>
              <w:rPr>
                <w:rFonts w:ascii="Times New Roman"/>
                <w:b w:val="false"/>
                <w:i w:val="false"/>
                <w:color w:val="000000"/>
                <w:sz w:val="20"/>
              </w:rPr>
              <w:t>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болуы.</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заттарға, олардың негізіндегі бұйымдарға техникалық құжаттаманың болуы.</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мс. кем емес қауіпсіз тұтану импульсі;</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конструкциясының өмірлік циклдің барлық сатыларында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санаттары мен типтері бойынша жіктелуінің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жазудың болуы.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w:t>
            </w:r>
          </w:p>
          <w:p>
            <w:pPr>
              <w:spacing w:after="20"/>
              <w:ind w:left="20"/>
              <w:jc w:val="both"/>
            </w:pPr>
            <w:r>
              <w:rPr>
                <w:rFonts w:ascii="Times New Roman"/>
                <w:b w:val="false"/>
                <w:i w:val="false"/>
                <w:color w:val="000000"/>
                <w:sz w:val="20"/>
              </w:rPr>
              <w:t>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тасымалданатын ыдыста келесісін қамтитын таңбаның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 оның құрамында болмайтындай етіп әзірлеу және дайындау: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тасымалдауды және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концентрация мәндерінен асатын мөлшерде болса.</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 құрамында халықаралық және өңірлік (мемлекетаралық) стандарттар тізбесіне енгізілген стандарттарда көрсетілген концентрациялар мәнінен асатын мөлшерде болатын химиялық заттар мен қоспалардың атауы, олар болмаған кезде-Ұлттық (мемлекеттік) стандарттар;</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көрсетілген қауіпсіздік талаптары мен мәліметтерді ескере отырып, балалар ойын алаңдары мен оның элементтеріне арналған жабдықтарды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w:t>
            </w:r>
          </w:p>
          <w:p>
            <w:pPr>
              <w:spacing w:after="20"/>
              <w:ind w:left="20"/>
              <w:jc w:val="both"/>
            </w:pPr>
            <w:r>
              <w:rPr>
                <w:rFonts w:ascii="Times New Roman"/>
                <w:b w:val="false"/>
                <w:i w:val="false"/>
                <w:color w:val="000000"/>
                <w:sz w:val="20"/>
              </w:rPr>
              <w:t>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платформалар, өткелдер, баспалдақтар мен жабдықтар бетінің және балалар ойын алаңдарын жабудың кез келген ауа райы жағдайларында сырғанауды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w:t>
            </w:r>
          </w:p>
          <w:p>
            <w:pPr>
              <w:spacing w:after="20"/>
              <w:ind w:left="20"/>
              <w:jc w:val="both"/>
            </w:pPr>
            <w:r>
              <w:rPr>
                <w:rFonts w:ascii="Times New Roman"/>
                <w:b w:val="false"/>
                <w:i w:val="false"/>
                <w:color w:val="000000"/>
                <w:sz w:val="20"/>
              </w:rPr>
              <w:t>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w:t>
            </w:r>
          </w:p>
          <w:p>
            <w:pPr>
              <w:spacing w:after="20"/>
              <w:ind w:left="20"/>
              <w:jc w:val="both"/>
            </w:pPr>
            <w:r>
              <w:rPr>
                <w:rFonts w:ascii="Times New Roman"/>
                <w:b w:val="false"/>
                <w:i w:val="false"/>
                <w:color w:val="000000"/>
                <w:sz w:val="20"/>
              </w:rPr>
              <w:t>
өрт ошағын анықтау, өрт аймағына қажетті (нормаланатын) сипаттамалары (беру қарқындылығы, көбік еселігі) бар өрт сөндіргіш затты беруді қамтамасыз етуіне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өрт және техникалық құралдардың,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Өрт кезінде өрт сөндірушілерді уытты жану өнімдерінен қорғауды қамтамасыз ету қажеттілігімен оқшаулауыш өрт сөндірушілердің өзін-өзі құтқарушылары механикалық және термиялық әсерлерге, қолайсыз климаттық әсерлерге, эргономикалық және қорғаныс көрсеткіштеріне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жұмысқа қабілеттілігін ауыстыру кезінде жоғары температуралы жану өнімдерін уақыт ішінде, (адамдарды эвакуациялау жолдарында қорғау кезінде) немесе өртті дамыту мен сөндірудің барлық уақыты ішінде (адамдарды өртке қарсы аймақтарда қорғау кезінде) адамдарды эвакуациялау үшін қажет сорғыш желдеткіштердің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және түтін газының өтуіне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сынақтардың (өлшеулердің)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Дайындаушының атауы, тауар белгісі( бар болса), құрылғының атауы мен белгіленуі (типі, маркасы, моделі) құрылғының қаптамасына жазылады.</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сәйкестігін қамтамасыз ету үшін қажет);</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w:t>
            </w:r>
          </w:p>
          <w:p>
            <w:pPr>
              <w:spacing w:after="20"/>
              <w:ind w:left="20"/>
              <w:jc w:val="both"/>
            </w:pPr>
            <w:r>
              <w:rPr>
                <w:rFonts w:ascii="Times New Roman"/>
                <w:b w:val="false"/>
                <w:i w:val="false"/>
                <w:color w:val="000000"/>
                <w:sz w:val="20"/>
              </w:rPr>
              <w:t>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борттары қоректік заттардың жоғалуын, ауаның улы газдармен ластану деңгейін төмендету үшін адсорбциялық материалдар қабатымен – шымтезек, үгінділер, сабанмен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93%-нан аспайтын, ал сусыз аммиакты тасымалдау үшін 85%-дан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туралы ақпараттың болуы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өнімнің мерзімі өткеннен кейін пайдалану үшін қауіпсіз емес болып саналатын уақыт кезеңі болса өнімнің жарамдылық мерзімін белгілеу.</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"Жыл бойы жарамды... (сағат, күн, ай немесе жыл)", "Жарамдылық мерзімі ... (сағат, күн, ай немесе жыл)", "Қызмет ету мерзімі... (жыл - сағат - цикл)".</w:t>
            </w:r>
          </w:p>
          <w:p>
            <w:pPr>
              <w:spacing w:after="20"/>
              <w:ind w:left="20"/>
              <w:jc w:val="both"/>
            </w:pPr>
            <w:r>
              <w:rPr>
                <w:rFonts w:ascii="Times New Roman"/>
                <w:b w:val="false"/>
                <w:i w:val="false"/>
                <w:color w:val="000000"/>
                <w:sz w:val="20"/>
              </w:rPr>
              <w:t>
Егер жарамдылық мерзімі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б) жол конструкцияларының қайтымсыз деформациялары;</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 - Ұлттық (мемлекеттік) Кеден одағына мүше мемлекеттердің стандарттарда белгіленген жол берілетін мәндерден асырып жіберуді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сәйкестікті растау жөніндегі органға және сынақ зертханасына (орталығына)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қарауын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сертификаттау жөніндегі жұмыстарды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сәйкестендіруді, үлгілерді іріктеуді және олардың сынақтарын қамтамасыз етуді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өндірістің жай-күйіне талдау жүргізуді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алынған нәтижелерге талдау жүргізуін растауы және сәйкестік сертификатын беру (беруден бас тарту туралы) туралы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Техникалық реттеу тізілімінде сәйкестік сертификатының тіркелуінің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сертификатын қалыптастыруды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сертификатталған өнімге мерзімді бағалауды жүзеге асыруды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 арқылы техникалық реттеу тізілімінде сәйкестік туралы декларацияны тіркеудің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сақтауды қамтамасыз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Техникалық реттеу тізіліміне сәйкестік туралы декларацияны қабылдаған өтініш берушінің БСН, атауы мен мекенжайын енгізуі, сәйкестік туралы декларацияның тіркеу нөмірі және сәйкестігі расталған өнім түрі және сәйкестік туралы декларацияның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оның күші қолданылатын өнімдер тізбесі бар сәйкестік туралы декларацияға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өзінің аккредиттеу саласы шегінде сәйкестікті міндетті немесе ерікті растау мақсаттары үшін объектілерге сынақтар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зертханасымен (орталығымен) сынақ нәтижелерінің дұрыстығын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 нәтижелерін ресімдеуді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жүргізуі. 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зертханалық жабдығының болуы және пайдалануы, оның жекелеген салалардағы көлемін (тізбесін) Техникалық реттеу саласындағы уәкілетті орган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0С – градус; </w:t>
      </w:r>
    </w:p>
    <w:p>
      <w:pPr>
        <w:spacing w:after="0"/>
        <w:ind w:left="0"/>
        <w:jc w:val="both"/>
      </w:pPr>
      <w:r>
        <w:rPr>
          <w:rFonts w:ascii="Times New Roman"/>
          <w:b w:val="false"/>
          <w:i w:val="false"/>
          <w:color w:val="000000"/>
          <w:sz w:val="28"/>
        </w:rPr>
        <w:t xml:space="preserve">
      мг/кг – миллиграмм/килограмм;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DN – номиналды диаметрі; </w:t>
      </w:r>
    </w:p>
    <w:p>
      <w:pPr>
        <w:spacing w:after="0"/>
        <w:ind w:left="0"/>
        <w:jc w:val="both"/>
      </w:pPr>
      <w:r>
        <w:rPr>
          <w:rFonts w:ascii="Times New Roman"/>
          <w:b w:val="false"/>
          <w:i w:val="false"/>
          <w:color w:val="000000"/>
          <w:sz w:val="28"/>
        </w:rPr>
        <w:t xml:space="preserve">
      PN – номиналды қысым; </w:t>
      </w:r>
    </w:p>
    <w:p>
      <w:pPr>
        <w:spacing w:after="0"/>
        <w:ind w:left="0"/>
        <w:jc w:val="both"/>
      </w:pPr>
      <w:r>
        <w:rPr>
          <w:rFonts w:ascii="Times New Roman"/>
          <w:b w:val="false"/>
          <w:i w:val="false"/>
          <w:color w:val="000000"/>
          <w:sz w:val="28"/>
        </w:rPr>
        <w:t xml:space="preserve">
      Pp – жұмыс қысымы; </w:t>
      </w:r>
    </w:p>
    <w:p>
      <w:pPr>
        <w:spacing w:after="0"/>
        <w:ind w:left="0"/>
        <w:jc w:val="both"/>
      </w:pPr>
      <w:r>
        <w:rPr>
          <w:rFonts w:ascii="Times New Roman"/>
          <w:b w:val="false"/>
          <w:i w:val="false"/>
          <w:color w:val="000000"/>
          <w:sz w:val="28"/>
        </w:rPr>
        <w:t xml:space="preserve">
      Мпа – мегапаскаль; </w:t>
      </w:r>
    </w:p>
    <w:p>
      <w:pPr>
        <w:spacing w:after="0"/>
        <w:ind w:left="0"/>
        <w:jc w:val="both"/>
      </w:pPr>
      <w:r>
        <w:rPr>
          <w:rFonts w:ascii="Times New Roman"/>
          <w:b w:val="false"/>
          <w:i w:val="false"/>
          <w:color w:val="000000"/>
          <w:sz w:val="28"/>
        </w:rPr>
        <w:t xml:space="preserve">
      кгс/см2 – шаршы сантиметрге килограмм; </w:t>
      </w:r>
    </w:p>
    <w:p>
      <w:pPr>
        <w:spacing w:after="0"/>
        <w:ind w:left="0"/>
        <w:jc w:val="both"/>
      </w:pPr>
      <w:r>
        <w:rPr>
          <w:rFonts w:ascii="Times New Roman"/>
          <w:b w:val="false"/>
          <w:i w:val="false"/>
          <w:color w:val="000000"/>
          <w:sz w:val="28"/>
        </w:rPr>
        <w:t xml:space="preserve">
      л – литр; </w:t>
      </w:r>
    </w:p>
    <w:p>
      <w:pPr>
        <w:spacing w:after="0"/>
        <w:ind w:left="0"/>
        <w:jc w:val="both"/>
      </w:pPr>
      <w:r>
        <w:rPr>
          <w:rFonts w:ascii="Times New Roman"/>
          <w:b w:val="false"/>
          <w:i w:val="false"/>
          <w:color w:val="000000"/>
          <w:sz w:val="28"/>
        </w:rPr>
        <w:t xml:space="preserve">
      м3 – текше метр; </w:t>
      </w:r>
    </w:p>
    <w:p>
      <w:pPr>
        <w:spacing w:after="0"/>
        <w:ind w:left="0"/>
        <w:jc w:val="both"/>
      </w:pPr>
      <w:r>
        <w:rPr>
          <w:rFonts w:ascii="Times New Roman"/>
          <w:b w:val="false"/>
          <w:i w:val="false"/>
          <w:color w:val="000000"/>
          <w:sz w:val="28"/>
        </w:rPr>
        <w:t xml:space="preserve">
      м2 – шаршы метр; </w:t>
      </w:r>
    </w:p>
    <w:p>
      <w:pPr>
        <w:spacing w:after="0"/>
        <w:ind w:left="0"/>
        <w:jc w:val="both"/>
      </w:pPr>
      <w:r>
        <w:rPr>
          <w:rFonts w:ascii="Times New Roman"/>
          <w:b w:val="false"/>
          <w:i w:val="false"/>
          <w:color w:val="000000"/>
          <w:sz w:val="28"/>
        </w:rPr>
        <w:t xml:space="preserve">
      м3/сағ – сағатына текше метр; </w:t>
      </w:r>
    </w:p>
    <w:p>
      <w:pPr>
        <w:spacing w:after="0"/>
        <w:ind w:left="0"/>
        <w:jc w:val="both"/>
      </w:pPr>
      <w:r>
        <w:rPr>
          <w:rFonts w:ascii="Times New Roman"/>
          <w:b w:val="false"/>
          <w:i w:val="false"/>
          <w:color w:val="000000"/>
          <w:sz w:val="28"/>
        </w:rPr>
        <w:t xml:space="preserve">
      кВт – киловатт-сағат; </w:t>
      </w:r>
    </w:p>
    <w:p>
      <w:pPr>
        <w:spacing w:after="0"/>
        <w:ind w:left="0"/>
        <w:jc w:val="both"/>
      </w:pPr>
      <w:r>
        <w:rPr>
          <w:rFonts w:ascii="Times New Roman"/>
          <w:b w:val="false"/>
          <w:i w:val="false"/>
          <w:color w:val="000000"/>
          <w:sz w:val="28"/>
        </w:rPr>
        <w:t xml:space="preserve">
      т/с – ағынның массалық жылдамдығын өлшеудің метрикалық бірлігі; МДж/кг – мегаджоуль; </w:t>
      </w:r>
    </w:p>
    <w:p>
      <w:pPr>
        <w:spacing w:after="0"/>
        <w:ind w:left="0"/>
        <w:jc w:val="both"/>
      </w:pPr>
      <w:r>
        <w:rPr>
          <w:rFonts w:ascii="Times New Roman"/>
          <w:b w:val="false"/>
          <w:i w:val="false"/>
          <w:color w:val="000000"/>
          <w:sz w:val="28"/>
        </w:rPr>
        <w:t xml:space="preserve">
      ккал/кг – жану жылуы; </w:t>
      </w:r>
    </w:p>
    <w:p>
      <w:pPr>
        <w:spacing w:after="0"/>
        <w:ind w:left="0"/>
        <w:jc w:val="both"/>
      </w:pPr>
      <w:r>
        <w:rPr>
          <w:rFonts w:ascii="Times New Roman"/>
          <w:b w:val="false"/>
          <w:i w:val="false"/>
          <w:color w:val="000000"/>
          <w:sz w:val="28"/>
        </w:rPr>
        <w:t>
      рН – 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Техникалық реттеу саласындағы/саласындағы/субъективті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 7-қосымшамен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 (№, күні)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"Қазақстан Республикасының Мемлекеттік Туы. Жалпы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2-1-қосымшамен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 күні)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3-қосымша</w:t>
            </w:r>
          </w:p>
        </w:tc>
      </w:tr>
    </w:tbl>
    <w:bookmarkStart w:name="z190" w:id="47"/>
    <w:p>
      <w:pPr>
        <w:spacing w:after="0"/>
        <w:ind w:left="0"/>
        <w:jc w:val="left"/>
      </w:pPr>
      <w:r>
        <w:rPr>
          <w:rFonts w:ascii="Times New Roman"/>
          <w:b/>
          <w:i w:val="false"/>
          <w:color w:val="000000"/>
        </w:rPr>
        <w:t xml:space="preserve"> Оқу орталықтарына қатысты техникалық реттеу саласындағы тексеру парағы</w:t>
      </w:r>
    </w:p>
    <w:bookmarkEnd w:id="47"/>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 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bookmarkStart w:name="z191" w:id="48"/>
    <w:p>
      <w:pPr>
        <w:spacing w:after="0"/>
        <w:ind w:left="0"/>
        <w:jc w:val="left"/>
      </w:pPr>
      <w:r>
        <w:rPr>
          <w:rFonts w:ascii="Times New Roman"/>
          <w:b/>
          <w:i w:val="false"/>
          <w:color w:val="000000"/>
        </w:rPr>
        <w:t xml:space="preserve"> Тауардың шығу тегі туралы сертификатты беруге уәкілетті ұйымға қатысты техникалық реттеу саласындағы тексеру парағы</w:t>
      </w:r>
    </w:p>
    <w:bookmarkEnd w:id="48"/>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bl>
    <w:p>
      <w:pPr>
        <w:spacing w:after="0"/>
        <w:ind w:left="0"/>
        <w:jc w:val="both"/>
      </w:pPr>
      <w:r>
        <w:rPr>
          <w:rFonts w:ascii="Times New Roman"/>
          <w:b w:val="false"/>
          <w:i w:val="false"/>
          <w:color w:val="000000"/>
          <w:sz w:val="28"/>
        </w:rPr>
        <w:t>
      Лауазымды тұлға (лар) 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 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29.11.2018 </w:t>
      </w:r>
      <w:r>
        <w:rPr>
          <w:rFonts w:ascii="Times New Roman"/>
          <w:b w:val="false"/>
          <w:i w:val="false"/>
          <w:color w:val="ff0000"/>
          <w:sz w:val="28"/>
        </w:rPr>
        <w:t>№ 833</w:t>
      </w:r>
      <w:r>
        <w:rPr>
          <w:rFonts w:ascii="Times New Roman"/>
          <w:b w:val="false"/>
          <w:i w:val="false"/>
          <w:color w:val="ff0000"/>
          <w:sz w:val="28"/>
        </w:rPr>
        <w:t xml:space="preserve"> және ҚР Ұлттық экономика министрінің 29.11.2018 № 90 (алғашқы ресми жарияланған күнiнен кейін күнтiзбелiк он күн өткен соң қолданысқа енгiзiледi); жаңа редакцияда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тағайындаған мемлекеттік</w:t>
      </w:r>
    </w:p>
    <w:p>
      <w:pPr>
        <w:spacing w:after="0"/>
        <w:ind w:left="0"/>
        <w:jc w:val="both"/>
      </w:pPr>
      <w:r>
        <w:rPr>
          <w:rFonts w:ascii="Times New Roman"/>
          <w:b w:val="false"/>
          <w:i w:val="false"/>
          <w:color w:val="000000"/>
          <w:sz w:val="28"/>
        </w:rPr>
        <w:t>
      орган_____________________________________________________________________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тағайындау актісі,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қауыпсіздік талаптарына сәйкес келмейтін өнімді кері қайтарып алу туралы сатып алушының байланыс деректері болған кезде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сәйкестігін міндетті растау рәсімін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Теміржол жылжымалы құрамынан сыртқы шудың деңгейін рұқсат етілген мәндерге асырмауды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жылдамдықты жылжымалы темір жол құрамының электр жабдығында шамадан тыс жүктемелер, қысқа тұйықталулар, жерге тұйықталулар кезінде, электр жабдықтарының артық кернеулері пайда болған кезде, сондай-ақ рекуперативтік тежеу, буксирлеу және юзе кезінде түйіспелі желідегі кернеуді алған кезде электр жабдығының зақымдануын және мынадай: түтіндеуге алып келетін жол берілмейтін қыздыру түріндегі қауіпті салдарларды болдырмайтын қорғаныстың және сигнализацияның болуы электр жабдығын оқшаулаудың сынуына әкелетін тұтануға және асқын кернеулерге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Жоғары жылдамдықты темір жол жылжымалы құрамының кіру есіктерін ашық күйде бекіте отырып, штаттық схема бойынша авариялық ашуды қамтамасыз ету.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 1) мүгедектер арбасын тез көтеруге, түсіруге және сенімді бекітуге арналған құрылғылар; 2) ауданы ұлғайтылған арнайы санитариялық тораптар; в) ені ұлғайтылған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оқшаулау қорғанысына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механикалық және коммутациялық тозуға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үзілу (көтерілу) биіктігін көрсету;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xml:space="preserve">
4) лифт кабинасында және негізгі отырғызу (тағайындалған) қабатында кабинаның орналасқан жері және оның қозғалыс бағыты туралы көрнекі ақпараттың болуы; </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xml:space="preserve">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техникалық құрал тудыратын электромагниттік кедергілер олардың мақсатына сәйкес байланыс құралдары мен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градустан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 (тасымалдау)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ережелерін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болмағанда ‒ ұлттық (мемлекеттік) стандарттардың химиялық заттар мен қоспалардың атауы;</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кез келген ауа райы жағдайында платформалардың, өту жолдарының, басқыштардың және жабдық сатыларының беттері мен балалардың ойын алаңдарының жабындарының сырғуын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1)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1)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 жылжымалы және стационарлық-қоршаған ортаның температурасы + 5С-тан + 40С-қа дейін; мобильді-қоршаған ортаның температурасы-50С-тан + 50С-қа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 Дайындаушының атауы, тауар белгісі( бар болса), құрылғының атауы мен белгіленуі (типі, маркасы, моделі) құрылғының қаптамасына жазылады. Егер бұл мәліметтерді құрылғыға енгізу мүмкін болмаса, олар осы құрылғыға қоса берілетін пайдалану құжаттарында ғана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қамтамасыз ету үшін қажет болып табылады);</w:t>
            </w:r>
          </w:p>
          <w:p>
            <w:pPr>
              <w:spacing w:after="20"/>
              <w:ind w:left="20"/>
              <w:jc w:val="both"/>
            </w:pPr>
            <w:r>
              <w:rPr>
                <w:rFonts w:ascii="Times New Roman"/>
                <w:b w:val="false"/>
                <w:i w:val="false"/>
                <w:color w:val="000000"/>
                <w:sz w:val="20"/>
              </w:rPr>
              <w:t>
4)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 Пайдалану құжаттары қағаз тасығыштағы құжаттар түрінде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белгісімен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 қолданыстағы стандарттау жөніндегі құжаттарға сәйкес басылған сәйкестік белгісі (бар болса);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айрықша қасиеттері, жай-күйі және арнайы өңдеу туралы ақпараттың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 белгілеу егер өнімнің мерзімі өткеннен кейін пайдалану үшін қауіпсіз емес болып саналатын уақыт кезеңі болса.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 Жарамдылық мерзімі өнім дайындалған (өндірілген) күннен бастап есептеледі.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 </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xml:space="preserve">
б) жол конструкцияларының қайтымсыз деформациялары; </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 – 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жағдайда-Ұлттық (мемлекеттік) стандарттарда белгіленген жол берілетін мәндерден асырып жіберуді болғызбау оларды қолдану нәтижесінде Кеден одағына мүше мемлекеттердің стандарттарында көзделген жағдайларда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 аббревиатураның толық жазылуы: ҚР СТ-Қазақстан Республикасының ұлттық</w:t>
      </w:r>
    </w:p>
    <w:p>
      <w:pPr>
        <w:spacing w:after="0"/>
        <w:ind w:left="0"/>
        <w:jc w:val="both"/>
      </w:pPr>
      <w:r>
        <w:rPr>
          <w:rFonts w:ascii="Times New Roman"/>
          <w:b w:val="false"/>
          <w:i w:val="false"/>
          <w:color w:val="000000"/>
          <w:sz w:val="28"/>
        </w:rPr>
        <w:t>
      стандарты; кг-килограмм; М-метр; % - пайыз; 0 С-градус; мг / кг-миллиграмм</w:t>
      </w:r>
    </w:p>
    <w:p>
      <w:pPr>
        <w:spacing w:after="0"/>
        <w:ind w:left="0"/>
        <w:jc w:val="both"/>
      </w:pPr>
      <w:r>
        <w:rPr>
          <w:rFonts w:ascii="Times New Roman"/>
          <w:b w:val="false"/>
          <w:i w:val="false"/>
          <w:color w:val="000000"/>
          <w:sz w:val="28"/>
        </w:rPr>
        <w:t>
      килограмм; мм-миллиметр; DN-номиналды диаметрі; PN-номиналды қысым;</w:t>
      </w:r>
    </w:p>
    <w:p>
      <w:pPr>
        <w:spacing w:after="0"/>
        <w:ind w:left="0"/>
        <w:jc w:val="both"/>
      </w:pPr>
      <w:r>
        <w:rPr>
          <w:rFonts w:ascii="Times New Roman"/>
          <w:b w:val="false"/>
          <w:i w:val="false"/>
          <w:color w:val="000000"/>
          <w:sz w:val="28"/>
        </w:rPr>
        <w:t>
      Pp-жұмыс қысымы; Мпа-мегапаскаль; кгс / см2 - шаршы сантиметрге килограмм;</w:t>
      </w:r>
    </w:p>
    <w:p>
      <w:pPr>
        <w:spacing w:after="0"/>
        <w:ind w:left="0"/>
        <w:jc w:val="both"/>
      </w:pPr>
      <w:r>
        <w:rPr>
          <w:rFonts w:ascii="Times New Roman"/>
          <w:b w:val="false"/>
          <w:i w:val="false"/>
          <w:color w:val="000000"/>
          <w:sz w:val="28"/>
        </w:rPr>
        <w:t>
      л-литр; м3-текше метр; м2-шаршы метр; м3 / сағ - сағатына текше метр; кВт-киловатт-</w:t>
      </w:r>
    </w:p>
    <w:p>
      <w:pPr>
        <w:spacing w:after="0"/>
        <w:ind w:left="0"/>
        <w:jc w:val="both"/>
      </w:pPr>
      <w:r>
        <w:rPr>
          <w:rFonts w:ascii="Times New Roman"/>
          <w:b w:val="false"/>
          <w:i w:val="false"/>
          <w:color w:val="000000"/>
          <w:sz w:val="28"/>
        </w:rPr>
        <w:t>
      сағат; Т / с - ағынның массалық жылдамдығын өлшеудің метрикалық бірлігі; МДж / кг-егаджоуль; ккал / кг-жану жылуы; рН-сутегі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bookmarkStart w:name="z178" w:id="49"/>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49"/>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(орталығына)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6-қосымшамен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бақылауды/тексеруді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тексеруді тағайындау туралы Акт 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қарауды қамтамасыз етуін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сәйкестендіруді, іріктеуді және олардың сынақтарын қамтамасыз етуді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жай-күйіне талдау жүргізуді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нәтижелерге талдау жүргізуді растау және сәйкестік сертификатын беру (беруден бас тарту туралы)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Техникалық реттеу тізілімінде тіркелуінің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қалыптастыруды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өнімге мерзімді бағалаудың жүзеге асырылуын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техникалық реттеудің ақпараттық жүйесі арқылы техникалық реттеу тізілімінде тіркеудің болуы не өтініш берушіні сәйкестік туралы декларацияны алған күннен бастап 5 (бес) жұмыс күнінен аспайтын мерзімде оны тіркеуден бас тарту туралы хабардар ету (бас тарту себептерін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оның қолданылу мерзімі аяқталған күннен бастап 3 (үш) жыл ішінде тұрақты негізде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тізіліміне сәйкестік туралы декларацияны қабылдаған БСН, өтініш берушінің атауы мен мекенжайын, сәйкестігі расталған сәйкестік туралы декларацияның тіркеу нөмірін және өнім түрін және сәйкестік туралы декларацияның қолданылу мерзімін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күші қолданылатын өнімнің тізбесін қамтитын сәйкестік туралы декларацияға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шеңберінде сәйкестікті міндетті немесе ерікті растау мақсатында объектілердің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нәтижелерінің дұрыстығын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ресімдеуді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болуы және жекелеген салаларда көлемін (тізбесін) техникалық реттеу саласындағы уәкілетті орган белгілейтін зертханалық жабдықтың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bookmarkStart w:name="z180" w:id="50"/>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50"/>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Жедел ден қоюдың құқық шектеу шаралары</w:t>
      </w:r>
    </w:p>
    <w:p>
      <w:pPr>
        <w:spacing w:after="0"/>
        <w:ind w:left="0"/>
        <w:jc w:val="both"/>
      </w:pPr>
      <w:r>
        <w:rPr>
          <w:rFonts w:ascii="Times New Roman"/>
          <w:b w:val="false"/>
          <w:i w:val="false"/>
          <w:color w:val="ff0000"/>
          <w:sz w:val="28"/>
        </w:rPr>
        <w:t xml:space="preserve">
      Ескерту. Бірлескен бұйрық 7-қосымшамен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алып тасталды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