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8e9c" w14:textId="e578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өңдеу ұйымдарының мақта қолхаттары бойынша міндеттемелердің орындалуына кепілдік беру жүйесіне қатысу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шілдедегі № 4-5/603 бұйрығы. Қазақстан Республикасының Әділет министрлігінде 2015 жылы 22 қыркүйекте № 12093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өңдеу ұйымдарының мақта қолхаттары бойынша міндеттемелердің орындалуына кепілдік беру жүйесіне қатысу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4-5/603 бұйрығымен бекітілген</w:t>
            </w:r>
          </w:p>
        </w:tc>
      </w:tr>
    </w:tbl>
    <w:bookmarkStart w:name="z9" w:id="7"/>
    <w:p>
      <w:pPr>
        <w:spacing w:after="0"/>
        <w:ind w:left="0"/>
        <w:jc w:val="left"/>
      </w:pPr>
      <w:r>
        <w:rPr>
          <w:rFonts w:ascii="Times New Roman"/>
          <w:b/>
          <w:i w:val="false"/>
          <w:color w:val="000000"/>
        </w:rPr>
        <w:t xml:space="preserve"> Мақта өңдеу ұйымдарының мақта қолхаттары бойынша міндеттемелердің орындалуына кепілдік беру жүйесіне қатысу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Мақта өңдеу ұйымдарының мақта қолхаттары бойынша міндеттемелердің орындалуына кепілдік беру жүйесіне қатысу қағидалары (бұдан әрі - Қағидалар)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мақта өңдеу ұйымдарының мақта қолхаттары бойынша міндеттемелердің орындалуына кепілдік беру жүйесіне қатысу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кепілдік берілген мақта көлемі – қайтару жөніндегі жауапкершілікке қор кепілдік беретін, қор әрбір қатысушы бойынша белгілейтін мақта көлемі;</w:t>
      </w:r>
    </w:p>
    <w:bookmarkEnd w:id="10"/>
    <w:bookmarkStart w:name="z14" w:id="11"/>
    <w:p>
      <w:pPr>
        <w:spacing w:after="0"/>
        <w:ind w:left="0"/>
        <w:jc w:val="both"/>
      </w:pPr>
      <w:r>
        <w:rPr>
          <w:rFonts w:ascii="Times New Roman"/>
          <w:b w:val="false"/>
          <w:i w:val="false"/>
          <w:color w:val="000000"/>
          <w:sz w:val="28"/>
        </w:rPr>
        <w:t xml:space="preserve">
      2) қатысу шарты – қор мен мақта өңдеу ұйымының арасында жасалатын шарт, оның негізінде соңғысы мақта қолхаттары бойынша міндеттемелердің орындалуына кепілдік беру жүйесіне қатысады; </w:t>
      </w:r>
    </w:p>
    <w:bookmarkEnd w:id="11"/>
    <w:bookmarkStart w:name="z15" w:id="12"/>
    <w:p>
      <w:pPr>
        <w:spacing w:after="0"/>
        <w:ind w:left="0"/>
        <w:jc w:val="both"/>
      </w:pPr>
      <w:r>
        <w:rPr>
          <w:rFonts w:ascii="Times New Roman"/>
          <w:b w:val="false"/>
          <w:i w:val="false"/>
          <w:color w:val="000000"/>
          <w:sz w:val="28"/>
        </w:rPr>
        <w:t>
      3) қатысушы – қормен қатысу шарты жасалған және қолданылатын, мақта қолхаттарын бере отырып, қойма қызметi жөніндегі қызметтер көрсетуге лицензиясы бар мақта өңдеу ұйымы;</w:t>
      </w:r>
    </w:p>
    <w:bookmarkEnd w:id="12"/>
    <w:bookmarkStart w:name="z16" w:id="13"/>
    <w:p>
      <w:pPr>
        <w:spacing w:after="0"/>
        <w:ind w:left="0"/>
        <w:jc w:val="both"/>
      </w:pPr>
      <w:r>
        <w:rPr>
          <w:rFonts w:ascii="Times New Roman"/>
          <w:b w:val="false"/>
          <w:i w:val="false"/>
          <w:color w:val="000000"/>
          <w:sz w:val="28"/>
        </w:rPr>
        <w:t>
      4) мақта қолхаттары бойынша міндеттемелердің орындалуына кепілдік беру қоры – өз қызметін мақта өңдеу ұйымдарының өздері берген мақта қолхаттары бойынша міндеттемелерін орындамауынан мақта қолхаттарын ұстаушылардың құқықтары мен заңды мүдделерін қорғауды қамтамасыз ету мақсатында жүзеге асыратын заңды тұлға (бұдан әрі – қор немесе қорлар);</w:t>
      </w:r>
    </w:p>
    <w:bookmarkEnd w:id="13"/>
    <w:bookmarkStart w:name="z17" w:id="14"/>
    <w:p>
      <w:pPr>
        <w:spacing w:after="0"/>
        <w:ind w:left="0"/>
        <w:jc w:val="both"/>
      </w:pPr>
      <w:r>
        <w:rPr>
          <w:rFonts w:ascii="Times New Roman"/>
          <w:b w:val="false"/>
          <w:i w:val="false"/>
          <w:color w:val="000000"/>
          <w:sz w:val="28"/>
        </w:rPr>
        <w:t>
      5) мақта өңдеу ұйымының паспорттық қуаттылығы – шитті мақтаны өңдеудің тәуліктік және жылдық көлемін сипаттайтын техникалық құжаттар.</w:t>
      </w:r>
    </w:p>
    <w:bookmarkEnd w:id="14"/>
    <w:bookmarkStart w:name="z18" w:id="15"/>
    <w:p>
      <w:pPr>
        <w:spacing w:after="0"/>
        <w:ind w:left="0"/>
        <w:jc w:val="left"/>
      </w:pPr>
      <w:r>
        <w:rPr>
          <w:rFonts w:ascii="Times New Roman"/>
          <w:b/>
          <w:i w:val="false"/>
          <w:color w:val="000000"/>
        </w:rPr>
        <w:t xml:space="preserve"> 2. Мақта өңдеу ұйымдарының мақта қолхаттары бойынша міндеттемелердің орындалуына кепілдік беру жүйесіне қатысу тәртібі</w:t>
      </w:r>
    </w:p>
    <w:bookmarkEnd w:id="15"/>
    <w:bookmarkStart w:name="z19" w:id="16"/>
    <w:p>
      <w:pPr>
        <w:spacing w:after="0"/>
        <w:ind w:left="0"/>
        <w:jc w:val="both"/>
      </w:pPr>
      <w:r>
        <w:rPr>
          <w:rFonts w:ascii="Times New Roman"/>
          <w:b w:val="false"/>
          <w:i w:val="false"/>
          <w:color w:val="000000"/>
          <w:sz w:val="28"/>
        </w:rPr>
        <w:t>
      3. Мақта қолхаттарын бере отырып, қойма қызметi жөніндегі қызметтер көрсетуге лицензиясы бар мақта өңдеу ұйымы қорға (қорларға) қатысу үшiн еркін нысанда қорға (қорларға) өтiнiш бередi және мынадай құжаттарды қоса бередi:</w:t>
      </w:r>
    </w:p>
    <w:bookmarkEnd w:id="16"/>
    <w:bookmarkStart w:name="z20" w:id="17"/>
    <w:p>
      <w:pPr>
        <w:spacing w:after="0"/>
        <w:ind w:left="0"/>
        <w:jc w:val="both"/>
      </w:pPr>
      <w:r>
        <w:rPr>
          <w:rFonts w:ascii="Times New Roman"/>
          <w:b w:val="false"/>
          <w:i w:val="false"/>
          <w:color w:val="000000"/>
          <w:sz w:val="28"/>
        </w:rPr>
        <w:t>
      1) жылжымайтын мүлікке тіркелген құқықтар (ауыртпалық салулар) және оның техникалық сипаттамалары туралы анықтама;</w:t>
      </w:r>
    </w:p>
    <w:bookmarkEnd w:id="17"/>
    <w:bookmarkStart w:name="z21" w:id="18"/>
    <w:p>
      <w:pPr>
        <w:spacing w:after="0"/>
        <w:ind w:left="0"/>
        <w:jc w:val="both"/>
      </w:pPr>
      <w:r>
        <w:rPr>
          <w:rFonts w:ascii="Times New Roman"/>
          <w:b w:val="false"/>
          <w:i w:val="false"/>
          <w:color w:val="000000"/>
          <w:sz w:val="28"/>
        </w:rPr>
        <w:t>
      2) мақта өңдеу ұйымы жарғысының көшірмесі (түпнұсқасы салыстырып тексеру үшін көрсетіледі);</w:t>
      </w:r>
    </w:p>
    <w:bookmarkEnd w:id="18"/>
    <w:bookmarkStart w:name="z22" w:id="19"/>
    <w:p>
      <w:pPr>
        <w:spacing w:after="0"/>
        <w:ind w:left="0"/>
        <w:jc w:val="both"/>
      </w:pPr>
      <w:r>
        <w:rPr>
          <w:rFonts w:ascii="Times New Roman"/>
          <w:b w:val="false"/>
          <w:i w:val="false"/>
          <w:color w:val="000000"/>
          <w:sz w:val="28"/>
        </w:rPr>
        <w:t>
      3) құрылтайшылардың құрамы туралы құрылтай шартынан үзінді-көшірме немесе қорға өтініш беретін күнге дейін кемінде он күн бұрын тіркеуші берген бағалы қағаздарды ұстаушылар тізілімдері жүйесінде бағалы қағаздарды ұстаушылардың жеке шотынан үзінді-көшірме;</w:t>
      </w:r>
    </w:p>
    <w:bookmarkEnd w:id="19"/>
    <w:bookmarkStart w:name="z23" w:id="20"/>
    <w:p>
      <w:pPr>
        <w:spacing w:after="0"/>
        <w:ind w:left="0"/>
        <w:jc w:val="both"/>
      </w:pPr>
      <w:r>
        <w:rPr>
          <w:rFonts w:ascii="Times New Roman"/>
          <w:b w:val="false"/>
          <w:i w:val="false"/>
          <w:color w:val="000000"/>
          <w:sz w:val="28"/>
        </w:rPr>
        <w:t>
      4) мақта қолхаттарын бере отырып, қойма қызметi жөніндегі қызметтер көрсетуге лицензияның көшiрмесi (түпнұсқасы салыстырып тексеру үшін көрсетіледі);</w:t>
      </w:r>
    </w:p>
    <w:bookmarkEnd w:id="20"/>
    <w:bookmarkStart w:name="z24" w:id="21"/>
    <w:p>
      <w:pPr>
        <w:spacing w:after="0"/>
        <w:ind w:left="0"/>
        <w:jc w:val="both"/>
      </w:pPr>
      <w:r>
        <w:rPr>
          <w:rFonts w:ascii="Times New Roman"/>
          <w:b w:val="false"/>
          <w:i w:val="false"/>
          <w:color w:val="000000"/>
          <w:sz w:val="28"/>
        </w:rPr>
        <w:t>
      5) мақта өңдеу ұйымының біліктілік талаптарына сәйкестігі және шитті мақтаның жаңа өнімін қабылдауға әзірлігі мәніне жүргізілетін жыл сайынғы тексеріс туралы жергілікті атқарушы орган актісінің көшірмесі (түпнұсқасы салыстырып тексеру үшін көрсетіледі);</w:t>
      </w:r>
    </w:p>
    <w:bookmarkEnd w:id="21"/>
    <w:bookmarkStart w:name="z25" w:id="22"/>
    <w:p>
      <w:pPr>
        <w:spacing w:after="0"/>
        <w:ind w:left="0"/>
        <w:jc w:val="both"/>
      </w:pPr>
      <w:r>
        <w:rPr>
          <w:rFonts w:ascii="Times New Roman"/>
          <w:b w:val="false"/>
          <w:i w:val="false"/>
          <w:color w:val="000000"/>
          <w:sz w:val="28"/>
        </w:rPr>
        <w:t>
      6) өткен жылға және соңғы есепті күнге бухгалтерлік теңгерімнің және қаржы-шаруашылық қызмет туралы есептің мақта өңдеу ұйымының мөрімен куәландырылған көшірмелері;</w:t>
      </w:r>
    </w:p>
    <w:bookmarkEnd w:id="22"/>
    <w:bookmarkStart w:name="z26" w:id="23"/>
    <w:p>
      <w:pPr>
        <w:spacing w:after="0"/>
        <w:ind w:left="0"/>
        <w:jc w:val="both"/>
      </w:pPr>
      <w:r>
        <w:rPr>
          <w:rFonts w:ascii="Times New Roman"/>
          <w:b w:val="false"/>
          <w:i w:val="false"/>
          <w:color w:val="000000"/>
          <w:sz w:val="28"/>
        </w:rPr>
        <w:t>
      7) мақта өңдеу ұйымының өткен есепті жылғы жылдық қаржылық есептілігінің шынайылығын растайтын аудиторлық қорытындының көшірмесі (түпнұсқасы салыстырып тексеру үшін көрсетіледі);</w:t>
      </w:r>
    </w:p>
    <w:bookmarkEnd w:id="23"/>
    <w:bookmarkStart w:name="z27" w:id="24"/>
    <w:p>
      <w:pPr>
        <w:spacing w:after="0"/>
        <w:ind w:left="0"/>
        <w:jc w:val="both"/>
      </w:pPr>
      <w:r>
        <w:rPr>
          <w:rFonts w:ascii="Times New Roman"/>
          <w:b w:val="false"/>
          <w:i w:val="false"/>
          <w:color w:val="000000"/>
          <w:sz w:val="28"/>
        </w:rPr>
        <w:t>
      8) мақта өңдеу ұйымы өтініш берген күннің алдындағы үш айдан астам мерзімге банктің алдында мерзімі өткен берешегінің жоқ екендігі туралы банктің мөрі басылған, бірінші басшының немесе қол қою құқығы бар адамның және бас бухгалтердің қолы қойылған банктің анықтамасы. Егер мақта өңдеу ұйымы бірнеше екінші деңгейдегі банктің немесе филиалдың, сондай-ақ шетелдік банктің клиенті болған жағдайда, бұл анықтама осындай банктердің әрқайсысынан ұсынылады;</w:t>
      </w:r>
    </w:p>
    <w:bookmarkEnd w:id="24"/>
    <w:bookmarkStart w:name="z28" w:id="25"/>
    <w:p>
      <w:pPr>
        <w:spacing w:after="0"/>
        <w:ind w:left="0"/>
        <w:jc w:val="both"/>
      </w:pPr>
      <w:r>
        <w:rPr>
          <w:rFonts w:ascii="Times New Roman"/>
          <w:b w:val="false"/>
          <w:i w:val="false"/>
          <w:color w:val="000000"/>
          <w:sz w:val="28"/>
        </w:rPr>
        <w:t xml:space="preserve">
      9) Қазақстан Республикасы Қаржы министрінің 2008 жылғы </w:t>
      </w:r>
    </w:p>
    <w:bookmarkEnd w:id="25"/>
    <w:p>
      <w:pPr>
        <w:spacing w:after="0"/>
        <w:ind w:left="0"/>
        <w:jc w:val="both"/>
      </w:pPr>
      <w:r>
        <w:rPr>
          <w:rFonts w:ascii="Times New Roman"/>
          <w:b w:val="false"/>
          <w:i w:val="false"/>
          <w:color w:val="000000"/>
          <w:sz w:val="28"/>
        </w:rPr>
        <w:t xml:space="preserve">
      29 желтоқсандағы № 622 бұйрығымен бекітілген дербес шоттарды жүргізу ережелерінің (Нормативтік құқықтық актілерді мемлекеттік тіркеу тізілімінде № 5446 болып тіркелген) </w:t>
      </w:r>
      <w:r>
        <w:rPr>
          <w:rFonts w:ascii="Times New Roman"/>
          <w:b w:val="false"/>
          <w:i w:val="false"/>
          <w:color w:val="000000"/>
          <w:sz w:val="28"/>
        </w:rPr>
        <w:t>20-тармағына</w:t>
      </w:r>
      <w:r>
        <w:rPr>
          <w:rFonts w:ascii="Times New Roman"/>
          <w:b w:val="false"/>
          <w:i w:val="false"/>
          <w:color w:val="000000"/>
          <w:sz w:val="28"/>
        </w:rPr>
        <w:t xml:space="preserve"> сәйкес салық берешегінің, міндетті зейнетақы жарналары, міндетті кәсіптік зейнетақы жарналары және әлеуметтік аударымдар бойынша берешектерінің жоқ екені туралы мәліметтер (төлеу мерзімі Қазақстан Республикасының заңнамасына сәйкес ұзартылған жағдайларды қоспағанда), немесе конкурс жарияланған күннен кеш емес бір теңгеден кем емес салық берешегінің, міндетті зейнетақы жарналары, міндетті кәсіптік зейнетақы жарналары және әлеуметтік аударымдар бойынша берешектерінің бар екені туралы анықтамасының көшірмесі;</w:t>
      </w:r>
    </w:p>
    <w:bookmarkStart w:name="z30" w:id="26"/>
    <w:p>
      <w:pPr>
        <w:spacing w:after="0"/>
        <w:ind w:left="0"/>
        <w:jc w:val="both"/>
      </w:pPr>
      <w:r>
        <w:rPr>
          <w:rFonts w:ascii="Times New Roman"/>
          <w:b w:val="false"/>
          <w:i w:val="false"/>
          <w:color w:val="000000"/>
          <w:sz w:val="28"/>
        </w:rPr>
        <w:t>
      10) қатысу шартының көшірмесі және кепілдік берілген мақтаның көлемі туралы мәліметтер (егер мақта өңдеу ұйымы мақта қолхаттары бойынша міндеттемелердің орындалуына кепілдік беретін басқа қорлардың қатысушысы болса);</w:t>
      </w:r>
    </w:p>
    <w:bookmarkEnd w:id="26"/>
    <w:bookmarkStart w:name="z31" w:id="27"/>
    <w:p>
      <w:pPr>
        <w:spacing w:after="0"/>
        <w:ind w:left="0"/>
        <w:jc w:val="both"/>
      </w:pPr>
      <w:r>
        <w:rPr>
          <w:rFonts w:ascii="Times New Roman"/>
          <w:b w:val="false"/>
          <w:i w:val="false"/>
          <w:color w:val="000000"/>
          <w:sz w:val="28"/>
        </w:rPr>
        <w:t>
      11) қорға кепілдік берілген мақта көлемін анықтау үшін қажетті өзге құжаттар.</w:t>
      </w:r>
    </w:p>
    <w:bookmarkEnd w:id="27"/>
    <w:bookmarkStart w:name="z32" w:id="28"/>
    <w:p>
      <w:pPr>
        <w:spacing w:after="0"/>
        <w:ind w:left="0"/>
        <w:jc w:val="both"/>
      </w:pPr>
      <w:r>
        <w:rPr>
          <w:rFonts w:ascii="Times New Roman"/>
          <w:b w:val="false"/>
          <w:i w:val="false"/>
          <w:color w:val="000000"/>
          <w:sz w:val="28"/>
        </w:rPr>
        <w:t xml:space="preserve">
      4. Қор (қорлар) өтінішті және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алғаннан кейін, мақта өңдеу ұйымының өтінішін осы қорға қатысушылардың құрамына енгізу және кепілдік берілген мақтаның көлемін анықтау мәніне қарайды. </w:t>
      </w:r>
    </w:p>
    <w:bookmarkEnd w:id="28"/>
    <w:bookmarkStart w:name="z33" w:id="29"/>
    <w:p>
      <w:pPr>
        <w:spacing w:after="0"/>
        <w:ind w:left="0"/>
        <w:jc w:val="both"/>
      </w:pPr>
      <w:r>
        <w:rPr>
          <w:rFonts w:ascii="Times New Roman"/>
          <w:b w:val="false"/>
          <w:i w:val="false"/>
          <w:color w:val="000000"/>
          <w:sz w:val="28"/>
        </w:rPr>
        <w:t>
      Мақта өңдеу ұйымының өтінішін қордың қарау мерзімі жиырма күнтізбелік күннен аспауы керек.</w:t>
      </w:r>
    </w:p>
    <w:bookmarkEnd w:id="29"/>
    <w:bookmarkStart w:name="z34" w:id="30"/>
    <w:p>
      <w:pPr>
        <w:spacing w:after="0"/>
        <w:ind w:left="0"/>
        <w:jc w:val="both"/>
      </w:pPr>
      <w:r>
        <w:rPr>
          <w:rFonts w:ascii="Times New Roman"/>
          <w:b w:val="false"/>
          <w:i w:val="false"/>
          <w:color w:val="000000"/>
          <w:sz w:val="28"/>
        </w:rPr>
        <w:t>
      5. Мақта өңдеу ұйымының мақта қолхаттары бойынша міндеттемелердің орындалуына кепілдік беру жүйесіне қатысуы қордың мақта өңдеу ұйымын қорға қатысушылардың қатарына қосу туралы шешімдеріне сәйкес жасалған қатысу шарттарының негізінде жүзеге асырылады.</w:t>
      </w:r>
    </w:p>
    <w:bookmarkEnd w:id="30"/>
    <w:bookmarkStart w:name="z35" w:id="31"/>
    <w:p>
      <w:pPr>
        <w:spacing w:after="0"/>
        <w:ind w:left="0"/>
        <w:jc w:val="both"/>
      </w:pPr>
      <w:r>
        <w:rPr>
          <w:rFonts w:ascii="Times New Roman"/>
          <w:b w:val="false"/>
          <w:i w:val="false"/>
          <w:color w:val="000000"/>
          <w:sz w:val="28"/>
        </w:rPr>
        <w:t xml:space="preserve">
      Қордың қатысушымен қатысу шартын жасасу мерзімі қордың мақта өңдеу ұйымын қорға қатысушылардың қатарына қосу туралы шешімі қабылданғаннан кейін күнтізбелік жеті күннен аспайды. </w:t>
      </w:r>
    </w:p>
    <w:bookmarkEnd w:id="31"/>
    <w:bookmarkStart w:name="z36" w:id="32"/>
    <w:p>
      <w:pPr>
        <w:spacing w:after="0"/>
        <w:ind w:left="0"/>
        <w:jc w:val="both"/>
      </w:pPr>
      <w:r>
        <w:rPr>
          <w:rFonts w:ascii="Times New Roman"/>
          <w:b w:val="false"/>
          <w:i w:val="false"/>
          <w:color w:val="000000"/>
          <w:sz w:val="28"/>
        </w:rPr>
        <w:t>
      6. Мақта өңдеу ұйымын қорға қатысушылардың қатарына қосқан кезде, қор мақта өңдеу ұйымының паспорттық қуаттылығын, нақты толтырылған көлемін, басқа қор (қорлар) кепілдік берген мақтаның көлемі туралы мәліметтерді ескере отырып (мақта өңдеу ұйымы басқа да қорларға қатысқан жағдайда) анықталатын кепілдік берілген мақтаның көлемін белгілейді.</w:t>
      </w:r>
    </w:p>
    <w:bookmarkEnd w:id="32"/>
    <w:bookmarkStart w:name="z37" w:id="33"/>
    <w:p>
      <w:pPr>
        <w:spacing w:after="0"/>
        <w:ind w:left="0"/>
        <w:jc w:val="both"/>
      </w:pPr>
      <w:r>
        <w:rPr>
          <w:rFonts w:ascii="Times New Roman"/>
          <w:b w:val="false"/>
          <w:i w:val="false"/>
          <w:color w:val="000000"/>
          <w:sz w:val="28"/>
        </w:rPr>
        <w:t>
      7. Мақта өңдеу ұйымының қорға қатысуы қор беретін қатысушы куәлігімен расталады.</w:t>
      </w:r>
    </w:p>
    <w:bookmarkEnd w:id="33"/>
    <w:bookmarkStart w:name="z38" w:id="34"/>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жүйесіне қатысу туралы куәлікті ауыстыру қатысушының атауы өзгерген жағдайда қатысушыдан лицензияның қайта тіркелуін және қайта ресімделуін растайтын құжаттарды алған сәттен бастап он жұмыс күні ішінде жүргізіледі.</w:t>
      </w:r>
    </w:p>
    <w:bookmarkEnd w:id="34"/>
    <w:bookmarkStart w:name="z39" w:id="35"/>
    <w:p>
      <w:pPr>
        <w:spacing w:after="0"/>
        <w:ind w:left="0"/>
        <w:jc w:val="both"/>
      </w:pPr>
      <w:r>
        <w:rPr>
          <w:rFonts w:ascii="Times New Roman"/>
          <w:b w:val="false"/>
          <w:i w:val="false"/>
          <w:color w:val="000000"/>
          <w:sz w:val="28"/>
        </w:rPr>
        <w:t>
      Мақта өңдеу ұйымын қорға қатысушылардың құрамынан шығарған жағдайда, мақта өңдеу ұйымы қор берген куәлікті үш жұмыс күні ішінде оған қайтарады.</w:t>
      </w:r>
    </w:p>
    <w:bookmarkEnd w:id="35"/>
    <w:bookmarkStart w:name="z40" w:id="36"/>
    <w:p>
      <w:pPr>
        <w:spacing w:after="0"/>
        <w:ind w:left="0"/>
        <w:jc w:val="both"/>
      </w:pPr>
      <w:r>
        <w:rPr>
          <w:rFonts w:ascii="Times New Roman"/>
          <w:b w:val="false"/>
          <w:i w:val="false"/>
          <w:color w:val="000000"/>
          <w:sz w:val="28"/>
        </w:rPr>
        <w:t>
      8. Мақта қолхаттары бойынша міндеттемелердің орындалуына кепілдік беру жүйесіне қатысу үшін қатысушы қорға (қорларға) қатысу шартында айқындалатын жыл сайынғы міндетті жарналарды төлейді.</w:t>
      </w:r>
    </w:p>
    <w:bookmarkEnd w:id="36"/>
    <w:bookmarkStart w:name="z41" w:id="37"/>
    <w:p>
      <w:pPr>
        <w:spacing w:after="0"/>
        <w:ind w:left="0"/>
        <w:jc w:val="both"/>
      </w:pPr>
      <w:r>
        <w:rPr>
          <w:rFonts w:ascii="Times New Roman"/>
          <w:b w:val="false"/>
          <w:i w:val="false"/>
          <w:color w:val="000000"/>
          <w:sz w:val="28"/>
        </w:rPr>
        <w:t>
      9. Қор өзінің қатысушыларының тізілімін жүргізеді және кепілдік берілген мақтаның көлемін көрсете отырып, қатысушылар туралы ақпараттың республикалық мерзімді баспа басылымдарында мемлекеттік және орыс тілдерінде жыл сайынғы жариялануын қамтамасыз етеді.</w:t>
      </w:r>
    </w:p>
    <w:bookmarkEnd w:id="37"/>
    <w:bookmarkStart w:name="z42" w:id="38"/>
    <w:p>
      <w:pPr>
        <w:spacing w:after="0"/>
        <w:ind w:left="0"/>
        <w:jc w:val="both"/>
      </w:pPr>
      <w:r>
        <w:rPr>
          <w:rFonts w:ascii="Times New Roman"/>
          <w:b w:val="false"/>
          <w:i w:val="false"/>
          <w:color w:val="000000"/>
          <w:sz w:val="28"/>
        </w:rPr>
        <w:t>
      10. Қатысушының қорға (қорларға) қатысуы төменде санамаланған жағдайлардың біреуі болғанда тоқтатылады:</w:t>
      </w:r>
    </w:p>
    <w:bookmarkEnd w:id="38"/>
    <w:bookmarkStart w:name="z43" w:id="39"/>
    <w:p>
      <w:pPr>
        <w:spacing w:after="0"/>
        <w:ind w:left="0"/>
        <w:jc w:val="both"/>
      </w:pPr>
      <w:r>
        <w:rPr>
          <w:rFonts w:ascii="Times New Roman"/>
          <w:b w:val="false"/>
          <w:i w:val="false"/>
          <w:color w:val="000000"/>
          <w:sz w:val="28"/>
        </w:rPr>
        <w:t>
      1) қормен жасалған қатысу шарты бұзылғанда;</w:t>
      </w:r>
    </w:p>
    <w:bookmarkEnd w:id="39"/>
    <w:bookmarkStart w:name="z44" w:id="40"/>
    <w:p>
      <w:pPr>
        <w:spacing w:after="0"/>
        <w:ind w:left="0"/>
        <w:jc w:val="both"/>
      </w:pPr>
      <w:r>
        <w:rPr>
          <w:rFonts w:ascii="Times New Roman"/>
          <w:b w:val="false"/>
          <w:i w:val="false"/>
          <w:color w:val="000000"/>
          <w:sz w:val="28"/>
        </w:rPr>
        <w:t>
      2) соттың шешімі бойынша;</w:t>
      </w:r>
    </w:p>
    <w:bookmarkEnd w:id="40"/>
    <w:bookmarkStart w:name="z45" w:id="41"/>
    <w:p>
      <w:pPr>
        <w:spacing w:after="0"/>
        <w:ind w:left="0"/>
        <w:jc w:val="both"/>
      </w:pPr>
      <w:r>
        <w:rPr>
          <w:rFonts w:ascii="Times New Roman"/>
          <w:b w:val="false"/>
          <w:i w:val="false"/>
          <w:color w:val="000000"/>
          <w:sz w:val="28"/>
        </w:rPr>
        <w:t>
      3) қатысу шарты тараптарының бірі жойылғанда.</w:t>
      </w:r>
    </w:p>
    <w:bookmarkEnd w:id="41"/>
    <w:bookmarkStart w:name="z46" w:id="42"/>
    <w:p>
      <w:pPr>
        <w:spacing w:after="0"/>
        <w:ind w:left="0"/>
        <w:jc w:val="both"/>
      </w:pPr>
      <w:r>
        <w:rPr>
          <w:rFonts w:ascii="Times New Roman"/>
          <w:b w:val="false"/>
          <w:i w:val="false"/>
          <w:color w:val="000000"/>
          <w:sz w:val="28"/>
        </w:rPr>
        <w:t>
      Мақта өңдеу ұйымының қорға қатысуы тоқтатылған күннен бастап отыз күннің ішінде қор тиісті ақпараттың республикалық мерзімді баспа басылымдарында мемлекеттік және орыс тілдерінде жариялануын қамтамасыз етеді.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