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b9db6" w14:textId="87b9d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Тұқым шаруашылығы саласындағы мемлекеттік бақылау бойынша тексеру парағының нысанын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2015 жылғы 20 шілдедегі № 15-07/670 және Қазақстан Республикасы Ұлттық экономика министрінің 2015 жылғы 8 тамыздағы № 600 Бірлескен бұйрығы. Қазақстан Республикасының Әділет министрлігінде 2015 жылы 17 қыркүйекте № 12068 болып тіркелді. Күші жойылды - Қазақстан Республикасы Ауыл шаруашылығы министрінің 2015 жылғы 28 желтоқсандағы № 15-05/1137 және Қазақстан Республикасы Ұлттық экономика министрінің 2015 жылғы 29 желтоқсандағы № 822 бірлескен бұйрығымен</w:t>
      </w:r>
    </w:p>
    <w:p>
      <w:pPr>
        <w:spacing w:after="0"/>
        <w:ind w:left="0"/>
        <w:jc w:val="both"/>
      </w:pPr>
      <w:bookmarkStart w:name="z1" w:id="0"/>
      <w:r>
        <w:rPr>
          <w:rFonts w:ascii="Times New Roman"/>
          <w:b w:val="false"/>
          <w:i w:val="false"/>
          <w:color w:val="ff0000"/>
          <w:sz w:val="28"/>
        </w:rPr>
        <w:t xml:space="preserve">
      Ескерту. Күші жойылды - ҚР Ауыл шаруашылығы министрінің 28.12.2015 № 15-05/1137 және ҚР Ұлттық экономика министрінің 29.12.2015 № 822 бірлескен </w:t>
      </w:r>
      <w:r>
        <w:rPr>
          <w:rFonts w:ascii="Times New Roman"/>
          <w:b w:val="false"/>
          <w:i w:val="false"/>
          <w:color w:val="ff0000"/>
          <w:sz w:val="28"/>
        </w:rPr>
        <w:t>бұйрығымен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Республикасындағы мемлекеттік бақылау және қадағалау туралы» Қазақстан Республикасының 2011 жылғы 6 қаңтардағы Заңының 11-бабы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тармақшасына, 15-бабы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БҰЙЫРАМЫЗ:</w:t>
      </w:r>
      <w:r>
        <w:br/>
      </w:r>
      <w:r>
        <w:rPr>
          <w:rFonts w:ascii="Times New Roman"/>
          <w:b w:val="false"/>
          <w:i w:val="false"/>
          <w:color w:val="000000"/>
          <w:sz w:val="28"/>
        </w:rPr>
        <w:t>
</w:t>
      </w:r>
      <w:r>
        <w:rPr>
          <w:rFonts w:ascii="Times New Roman"/>
          <w:b w:val="false"/>
          <w:i w:val="false"/>
          <w:color w:val="000000"/>
          <w:sz w:val="28"/>
        </w:rPr>
        <w:t>
      1. Қоса беріліп отырған тұқым шаруашылығы саласындағы мемлекеттік бақылау бойынша тексеру парағының </w:t>
      </w:r>
      <w:r>
        <w:rPr>
          <w:rFonts w:ascii="Times New Roman"/>
          <w:b w:val="false"/>
          <w:i w:val="false"/>
          <w:color w:val="000000"/>
          <w:sz w:val="28"/>
        </w:rPr>
        <w:t>нысаны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министрлігінің Агроөнеркәсіптік кешендегі мемлекеттік инспекция комитеті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бірлескен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бірлескен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басылымдарында және «Әділет» ақпараттық-құқықтық жүйесінде ресми жариялауға жіберілуін;</w:t>
      </w:r>
      <w:r>
        <w:br/>
      </w:r>
      <w:r>
        <w:rPr>
          <w:rFonts w:ascii="Times New Roman"/>
          <w:b w:val="false"/>
          <w:i w:val="false"/>
          <w:color w:val="000000"/>
          <w:sz w:val="28"/>
        </w:rPr>
        <w:t>
</w:t>
      </w:r>
      <w:r>
        <w:rPr>
          <w:rFonts w:ascii="Times New Roman"/>
          <w:b w:val="false"/>
          <w:i w:val="false"/>
          <w:color w:val="000000"/>
          <w:sz w:val="28"/>
        </w:rPr>
        <w:t>
      3) осы бірлескен бұйрықтың Қазақстан Республикасы Ауыл шаруашылығы министрлігінің ресми интернет-ресурсында және мемлекеттік органдардың интранет-порталында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3. Осы бірлескен бұйрықтың орындалуын бақылау жетекшілік ететін Қазақстан Республикасы Ауыл шаруашылығы вице-министріне жүктелсін.</w:t>
      </w:r>
      <w:r>
        <w:br/>
      </w:r>
      <w:r>
        <w:rPr>
          <w:rFonts w:ascii="Times New Roman"/>
          <w:b w:val="false"/>
          <w:i w:val="false"/>
          <w:color w:val="000000"/>
          <w:sz w:val="28"/>
        </w:rPr>
        <w:t>
</w:t>
      </w:r>
      <w:r>
        <w:rPr>
          <w:rFonts w:ascii="Times New Roman"/>
          <w:b w:val="false"/>
          <w:i w:val="false"/>
          <w:color w:val="000000"/>
          <w:sz w:val="28"/>
        </w:rPr>
        <w:t>
      4. Осы бірлескен бұйрық алғашқы ресми жарияланған күнінен кейін күнтізбелік он күн өткен соң қолданысқа енгізіледі.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        Қазақстан Республикасының</w:t>
      </w:r>
      <w:r>
        <w:br/>
      </w:r>
      <w:r>
        <w:rPr>
          <w:rFonts w:ascii="Times New Roman"/>
          <w:b w:val="false"/>
          <w:i w:val="false"/>
          <w:color w:val="000000"/>
          <w:sz w:val="28"/>
        </w:rPr>
        <w:t>
</w:t>
      </w:r>
      <w:r>
        <w:rPr>
          <w:rFonts w:ascii="Times New Roman"/>
          <w:b w:val="false"/>
          <w:i/>
          <w:color w:val="000000"/>
          <w:sz w:val="28"/>
        </w:rPr>
        <w:t>      Ауыл шаруашылығы министрі        Ұлттық экономика министрі</w:t>
      </w:r>
      <w:r>
        <w:br/>
      </w:r>
      <w:r>
        <w:rPr>
          <w:rFonts w:ascii="Times New Roman"/>
          <w:b w:val="false"/>
          <w:i w:val="false"/>
          <w:color w:val="000000"/>
          <w:sz w:val="28"/>
        </w:rPr>
        <w:t>
</w:t>
      </w:r>
      <w:r>
        <w:rPr>
          <w:rFonts w:ascii="Times New Roman"/>
          <w:b w:val="false"/>
          <w:i/>
          <w:color w:val="000000"/>
          <w:sz w:val="28"/>
        </w:rPr>
        <w:t>      А.Мамытбеков                     Е.Досаев</w:t>
      </w:r>
    </w:p>
    <w:p>
      <w:pPr>
        <w:spacing w:after="0"/>
        <w:ind w:left="0"/>
        <w:jc w:val="both"/>
      </w:pPr>
      <w:r>
        <w:rPr>
          <w:rFonts w:ascii="Times New Roman"/>
          <w:b w:val="false"/>
          <w:i w:val="false"/>
          <w:color w:val="000000"/>
          <w:sz w:val="28"/>
        </w:rPr>
        <w:t>      </w:t>
      </w:r>
      <w:r>
        <w:rPr>
          <w:rFonts w:ascii="Times New Roman"/>
          <w:b w:val="false"/>
          <w:i/>
          <w:color w:val="000000"/>
          <w:sz w:val="28"/>
        </w:rPr>
        <w:t>«КЕЛІСІЛГЕН»</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Бас прокуратурасының Құқықтық</w:t>
      </w:r>
      <w:r>
        <w:br/>
      </w:r>
      <w:r>
        <w:rPr>
          <w:rFonts w:ascii="Times New Roman"/>
          <w:b w:val="false"/>
          <w:i w:val="false"/>
          <w:color w:val="000000"/>
          <w:sz w:val="28"/>
        </w:rPr>
        <w:t>
</w:t>
      </w:r>
      <w:r>
        <w:rPr>
          <w:rFonts w:ascii="Times New Roman"/>
          <w:b w:val="false"/>
          <w:i/>
          <w:color w:val="000000"/>
          <w:sz w:val="28"/>
        </w:rPr>
        <w:t>      статистика және арнайы есепке</w:t>
      </w:r>
      <w:r>
        <w:br/>
      </w:r>
      <w:r>
        <w:rPr>
          <w:rFonts w:ascii="Times New Roman"/>
          <w:b w:val="false"/>
          <w:i w:val="false"/>
          <w:color w:val="000000"/>
          <w:sz w:val="28"/>
        </w:rPr>
        <w:t>
</w:t>
      </w:r>
      <w:r>
        <w:rPr>
          <w:rFonts w:ascii="Times New Roman"/>
          <w:b w:val="false"/>
          <w:i/>
          <w:color w:val="000000"/>
          <w:sz w:val="28"/>
        </w:rPr>
        <w:t>      алу жөніндегі комитетінің төрағасы</w:t>
      </w:r>
      <w:r>
        <w:br/>
      </w:r>
      <w:r>
        <w:rPr>
          <w:rFonts w:ascii="Times New Roman"/>
          <w:b w:val="false"/>
          <w:i w:val="false"/>
          <w:color w:val="000000"/>
          <w:sz w:val="28"/>
        </w:rPr>
        <w:t>
</w:t>
      </w:r>
      <w:r>
        <w:rPr>
          <w:rFonts w:ascii="Times New Roman"/>
          <w:b w:val="false"/>
          <w:i/>
          <w:color w:val="000000"/>
          <w:sz w:val="28"/>
        </w:rPr>
        <w:t>      ______________________ С. Айтпаева</w:t>
      </w:r>
      <w:r>
        <w:br/>
      </w:r>
      <w:r>
        <w:rPr>
          <w:rFonts w:ascii="Times New Roman"/>
          <w:b w:val="false"/>
          <w:i w:val="false"/>
          <w:color w:val="000000"/>
          <w:sz w:val="28"/>
        </w:rPr>
        <w:t>
</w:t>
      </w:r>
      <w:r>
        <w:rPr>
          <w:rFonts w:ascii="Times New Roman"/>
          <w:b w:val="false"/>
          <w:i/>
          <w:color w:val="000000"/>
          <w:sz w:val="28"/>
        </w:rPr>
        <w:t>      2015 жылғы 20 шілде</w:t>
      </w:r>
    </w:p>
    <w:bookmarkStart w:name="z9"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2015 жылғы 20 шілдедегі № 15-07/670 </w:t>
      </w:r>
      <w:r>
        <w:br/>
      </w:r>
      <w:r>
        <w:rPr>
          <w:rFonts w:ascii="Times New Roman"/>
          <w:b w:val="false"/>
          <w:i w:val="false"/>
          <w:color w:val="000000"/>
          <w:sz w:val="28"/>
        </w:rPr>
        <w:t xml:space="preserve">
және Қазақстан Республикасы     </w:t>
      </w:r>
      <w:r>
        <w:br/>
      </w:r>
      <w:r>
        <w:rPr>
          <w:rFonts w:ascii="Times New Roman"/>
          <w:b w:val="false"/>
          <w:i w:val="false"/>
          <w:color w:val="000000"/>
          <w:sz w:val="28"/>
        </w:rPr>
        <w:t xml:space="preserve">
Ұлттық экономика министрінің     </w:t>
      </w:r>
      <w:r>
        <w:br/>
      </w:r>
      <w:r>
        <w:rPr>
          <w:rFonts w:ascii="Times New Roman"/>
          <w:b w:val="false"/>
          <w:i w:val="false"/>
          <w:color w:val="000000"/>
          <w:sz w:val="28"/>
        </w:rPr>
        <w:t xml:space="preserve">
2015 жылғы 8 тамыздағы № 600     </w:t>
      </w:r>
      <w:r>
        <w:br/>
      </w:r>
      <w:r>
        <w:rPr>
          <w:rFonts w:ascii="Times New Roman"/>
          <w:b w:val="false"/>
          <w:i w:val="false"/>
          <w:color w:val="000000"/>
          <w:sz w:val="28"/>
        </w:rPr>
        <w:t xml:space="preserve">
бірлескен бұйрығымен бекітілген    </w:t>
      </w:r>
    </w:p>
    <w:bookmarkEnd w:id="2"/>
    <w:p>
      <w:pPr>
        <w:spacing w:after="0"/>
        <w:ind w:left="0"/>
        <w:jc w:val="both"/>
      </w:pPr>
      <w:r>
        <w:rPr>
          <w:rFonts w:ascii="Times New Roman"/>
          <w:b w:val="false"/>
          <w:i w:val="false"/>
          <w:color w:val="000000"/>
          <w:sz w:val="28"/>
        </w:rPr>
        <w:t>нысан</w:t>
      </w:r>
    </w:p>
    <w:bookmarkStart w:name="z10" w:id="3"/>
    <w:p>
      <w:pPr>
        <w:spacing w:after="0"/>
        <w:ind w:left="0"/>
        <w:jc w:val="left"/>
      </w:pPr>
      <w:r>
        <w:rPr>
          <w:rFonts w:ascii="Times New Roman"/>
          <w:b/>
          <w:i w:val="false"/>
          <w:color w:val="000000"/>
        </w:rPr>
        <w:t xml:space="preserve"> 
Тұқым шаруашылығы саласындағы</w:t>
      </w:r>
      <w:r>
        <w:br/>
      </w:r>
      <w:r>
        <w:rPr>
          <w:rFonts w:ascii="Times New Roman"/>
          <w:b/>
          <w:i w:val="false"/>
          <w:color w:val="000000"/>
        </w:rPr>
        <w:t>
мемлекеттік бақылау бойынша</w:t>
      </w:r>
      <w:r>
        <w:br/>
      </w:r>
      <w:r>
        <w:rPr>
          <w:rFonts w:ascii="Times New Roman"/>
          <w:b/>
          <w:i w:val="false"/>
          <w:color w:val="000000"/>
        </w:rPr>
        <w:t>
тексеру парағы</w:t>
      </w:r>
    </w:p>
    <w:bookmarkEnd w:id="3"/>
    <w:p>
      <w:pPr>
        <w:spacing w:after="0"/>
        <w:ind w:left="0"/>
        <w:jc w:val="both"/>
      </w:pPr>
      <w:r>
        <w:rPr>
          <w:rFonts w:ascii="Times New Roman"/>
          <w:b w:val="false"/>
          <w:i w:val="false"/>
          <w:color w:val="000000"/>
          <w:sz w:val="28"/>
        </w:rPr>
        <w:t>Тексеруді тағайындаған мемлекеттік орган______________________________________________________________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Тексеру тағайындау туралы акті ____________________________________</w:t>
      </w:r>
      <w:r>
        <w:br/>
      </w:r>
      <w:r>
        <w:rPr>
          <w:rFonts w:ascii="Times New Roman"/>
          <w:b w:val="false"/>
          <w:i w:val="false"/>
          <w:color w:val="000000"/>
          <w:sz w:val="28"/>
        </w:rPr>
        <w:t>
                                            (№, күні)</w:t>
      </w:r>
      <w:r>
        <w:br/>
      </w:r>
      <w:r>
        <w:rPr>
          <w:rFonts w:ascii="Times New Roman"/>
          <w:b w:val="false"/>
          <w:i w:val="false"/>
          <w:color w:val="000000"/>
          <w:sz w:val="28"/>
        </w:rPr>
        <w:t>
Тексерілетін субъектінің (объектінің)</w:t>
      </w:r>
      <w:r>
        <w:br/>
      </w:r>
      <w:r>
        <w:rPr>
          <w:rFonts w:ascii="Times New Roman"/>
          <w:b w:val="false"/>
          <w:i w:val="false"/>
          <w:color w:val="000000"/>
          <w:sz w:val="28"/>
        </w:rPr>
        <w:t>
атауы______________________________________________________________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Тексерілетін субъектінің (объектінің)</w:t>
      </w:r>
      <w:r>
        <w:br/>
      </w:r>
      <w:r>
        <w:rPr>
          <w:rFonts w:ascii="Times New Roman"/>
          <w:b w:val="false"/>
          <w:i w:val="false"/>
          <w:color w:val="000000"/>
          <w:sz w:val="28"/>
        </w:rPr>
        <w:t>
(ЖСН) БСН__________________________________________________________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Орналасқан мекенжайы_______________________________________________</w:t>
      </w:r>
      <w:r>
        <w:br/>
      </w:r>
      <w:r>
        <w:rPr>
          <w:rFonts w:ascii="Times New Roman"/>
          <w:b w:val="false"/>
          <w:i w:val="false"/>
          <w:color w:val="000000"/>
          <w:sz w:val="28"/>
        </w:rPr>
        <w:t>
___________________________________________________________________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4"/>
        <w:gridCol w:w="6244"/>
        <w:gridCol w:w="941"/>
        <w:gridCol w:w="1596"/>
        <w:gridCol w:w="2026"/>
        <w:gridCol w:w="2659"/>
      </w:tblGrid>
      <w:tr>
        <w:trPr>
          <w:trHeight w:val="181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 тізбесі</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етіледі</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талаптарға сәйкес келеді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талаптарға сәйкес келмейді</w:t>
            </w:r>
          </w:p>
        </w:tc>
      </w:tr>
      <w:tr>
        <w:trPr>
          <w:trHeight w:val="40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97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сапасына сараптама жасау жөніндегі зертханаларға, бірегей тұқым өндірушілерге, элиталық тұқым өсіру, тұқым өсіру шаруашылықтарына және тұқым өткізушілерге қойылатын жалпы талаптар</w:t>
            </w:r>
          </w:p>
        </w:tc>
      </w:tr>
      <w:tr>
        <w:trPr>
          <w:trHeight w:val="37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сапасына сараптама жасау жөніндегі зертханалар</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құқығындағы немесе өзге заңды негізде (кемінде бір жыл мерзіммен иелену) ғимараттың (үй-жайдың) болуы</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өлшем бiрлiктерiн қамтамасыз ету мемлекеттiк жүйесі тiзiлiміне енгiзiлген және Қазақстан Республикасының өлшем бiрлiктерiн қамтамасыз ету саласындағы заңнамаға сәйкес салыстырылып тексерілген зертханалық жабдықтың және өлшем құралдарының болуы</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сапасын анықтау әдiстерiне нормативтiк-техникалық құжаттама талаптарына сәйкес тұқымның сапа көрсеткiштерiн анықтауды қамтамасыз етуге арналған құрал-сайманның болуы</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бір штаттық тұқым сарапшысының болуы</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Бірегей тұқым өндірушілер</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Бірегей тұқымдарды өндіруді жүргізу үшін егістік алаңның (суармалы жерлерде - сумен қамтамасыз етілген ауыспалы егістіктің) болуы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Бірегей тұқым өндіру жүргізілетін, ауыл шаруашылығы өсімдігінің ерекшеліктерін ескере отырып, нақты топырақты-климаттық аймаққа арналған ғылыми негізделген ұсынымдарға сәйкес салынған және бірден кем емес айналымнан өткен, игерілген тұқым шаруашылығы ауыспалы егістерінің болуы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егіс алаңының 30 пайызынан кем емес тұқым шаруашылығы егістіктерінің болуы</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Бірегей тұқым өндірісі (бастапқы тұқым шаруашылығы) бойынша 6 жылдан кем емес жұмыс тәжірибесінің болуы</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топырақты-климаттық аймаққа арналған ауыл шаруашылығы дақылдарын өсіру бойынша ғылыми негізделген ұсынымдарға сәйкес сорттық агротехниканың болуы</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Ауыл шаруашылығы министрлігі Агроөнеркәсіптік кешендегі мемлекеттік инспекция комитетінің өсімдіктер карантині жөніндегі мемлекеттік инспекторы растаған бірегей тұқым өндірушінің аумағында карантиндік объектілердің болмауы, бұл ретте карантиндік объектілер бірегей тұқым өндірушінің аумағында аттестаттау сәтіне дейін кемінде үш жыл кезеңінде де болмауы тиіс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Дақыл жөнінде бес жылдан кем емес жұмыс тәжірибесі бар кемінде бір маман-селекционердің болуы немесе ауыл шаруашылығы өсімдіктері селекциясы саласында ғылыми-зерттеу жұмыстарын жүзеге асыратын жеке немесе заңды тұлғамен бірегей тұқым өндірісі бойынша бірлескен жұмысты жүзеге асыруға шарттың болуы</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бір агроном-тұқымшының және әр дақыл бойынша маманның сондай-ақ, дақыл мен сорттың тұқым шаруашылығы жөніндегі жұмыстың ерекше әдістерін меңгерген техникалық персоналдың кемінде үш адамының болуы</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Дақыл мен сорттың биологиялық белгілері мен қасиеттерін ескеретін сызбаларға қатаң сәйкестікте бірегей тұқым өндірісін қамтамасыз етуі</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Кейіннен элиталық тұқым өндірісін қамтамасыз ету мақсатында бірегей тұқымның жоспарланған көлемін өндіруге қажетті ассортиментте және көлемде сорттың тұқымдық материалының (жеміс, жидек дақылдарының және жүзімнің көшетін өндірушілер үшін аналық екпе ағаштардың) болуы</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Мынадай:</w:t>
            </w:r>
            <w:r>
              <w:br/>
            </w:r>
            <w:r>
              <w:rPr>
                <w:rFonts w:ascii="Times New Roman"/>
                <w:b w:val="false"/>
                <w:i w:val="false"/>
                <w:color w:val="000000"/>
                <w:sz w:val="20"/>
              </w:rPr>
              <w:t>
   бастапқы буындардың негізін қалау үшін - 100 пайыз;</w:t>
            </w:r>
            <w:r>
              <w:br/>
            </w:r>
            <w:r>
              <w:rPr>
                <w:rFonts w:ascii="Times New Roman"/>
                <w:b w:val="false"/>
                <w:i w:val="false"/>
                <w:color w:val="000000"/>
                <w:sz w:val="20"/>
              </w:rPr>
              <w:t>
   суперэлита үшін - 50 пайыз қажеттілікте тұқым сақтандыру қорларының болуы</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Бiрегей тұқым өндiру жүргiзiлетiн ауыл шаруашылығы өсiмдiктерi түрлерiнiң бiрегей тұқымдарын өндiру жөнiндегi жұмыстардың бүкіл кешенiн қамтамасыз ету үшiн меншiк, лизинг немесе мүлiктiк жалға алу құқығындағы не сенiмгерлiк басқарудағы мамандандырылған арнайы селекциялық және тұқым шаруашылығы техникасының болуы</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Тұқымдар партияларын олардың араласуына жол бермей орналастыруға мүмкіндік беретін меншiк, лизинг немесе мүлiктiк жалға алу құқығындағы не сенiмгерлiк басқарудағы мамандандырылған қырмандардың, тұқымдарды сақтауға арналған сыйымдылықтардың (қоймалық үй-жайлардың және (немесе) сүрлем үлгісіндегі қоймалардың және (немесе) бункерлердің), арнайы ыдыстың, асфальтталған жабық алаңдардың, жемiс, жидек дақылдары мен жүзiмге арналған көму алаңдарының болуы</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Бірегей тұқым өндірісі жүргізілетін ауыл шаруашылығы өсімдіктерінің әр сорты бойынша өндірілген, сатылған және өз шаруашылығында пайдаланылған бірегей тұқымның саны мен сапасына, шыққан тегіне (себу, іріктеу, сорттық, түрлік және фитопатологиялық отаулар (тазалаулар), егістіктерді қабылдау және (немесе) байқаудан өткізу, бірегей тұқымды жинау, кіріске алу, тазалау және өңдеу, сату актілері, тұқымдарды есепке алу журналы (ол тиісті жергілікті атқарушы органның тұқым шаруашылығы жөніндегі мемлекеттік инспекторымен нөмірленуге, тігілуге, қолы қойылуға тиіс), тұқымдардың кондициялығы туралы куәлік, тұқымдардың аттестаты) есеп жүргізуі</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Сортты шығару әдісін, ата-аналық нысандар, сорт белгілерінің ерекше сипаттамалары туралы мәліметтерді көрсететін сорт жөніндегі құжаттаманы жүргізуі</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 жөніндегі есеп материалдарының алты жылдан кем емес мерзім ішінде сақталуын қамтамасыз етуі</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Элиталық тұқым өсіру шаруашылықтары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Элиталы тұқым өндіру жүргізілетін және кемінде бір ротациядан өткен ауыл шаруашылығы өсімдігінің ерекшеліктерін ескере отырып, нақты топырақты-климаттық аймаққа арналған ғылыми негізделген ұсынымдарға сәйкес салынған, игерілген тұқым шаруашылығы ауыспалы егістерінің болуы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топырақты-климаттық аймаққа арналған ауыл шаруашылығы дақылдарын өсіру бойынша ғылыми негізделген ұсынымдарға сәйкес сорттық агротехниканың болуы</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егіс алаңының 25 пайызынан кем емес тұқым шаруашылығы егістіктерінің болуы</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үш жылдағы өнімділіктің орташа облыстық көрсеткіштен жоғары болуы</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 бойынша жұмыс тәжірибесі төрт жылдан кем болмауы</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өндіріс көлеміндегі қызметтің негізгі түрінің (элиталық тұқым шаруашылығы) үлес салмағын қамтамасыз ету 25 пайыздан кем болмауы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 жүргізілетін егілетін дақылдардың саны 4-тен көп болмауы</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Аттестаттау мәніне сәйкес тұқым шаруашылығы жүргізілетін әр дақыл бойынша сорттардың саны 3-тен көп болмауы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Суперэлиталық тұқымды егуге қажетті тұқымның сақтандыру қоры - 50 пайыз болуы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Дақылдар мен сорттар бойынша сорт жаңарту жоспарының болуы</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Аудандастырылғандар тізбесіне енгізілген тұқым сорттарын өсіру схемасының болуы</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материалдарын өсіру жұмыстарының барлық түрлері мен оның сапалық көрсеткіштері көрсетілетін құжаттаманы жүргізуі және есепке алуды ұйымдастыруы</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Элиталық тұқымның жоспарланған мөлшерін өндіру үшін түр-түрде және көлемде негізгі тұқым материалының (бірегей тұқым) аудандастырылған және перспективті сорттарының болуы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Аттестаттауға өтініш берген сәттен бастап кемінде екі жыл мерзімге элиталық тұқымның жоспарланған мөлшерін өндіру үшін түр-түрде және көлемде аудандастырылған және перспективті сорттардың бірегей немесе суперэлиталық тұқымдарын жеткізу туралы бірегей тұқым өндірушімен жасалған шарттың болуы</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өсімдіктері селекциясы саласында ғылыми-зерттеу жұмыстарын жүзеге асыратын жеке немесе заңды тұлғамен элиталық тұқым өндірісін ғылыми сүйемелдеу туралы шарттың болуы</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Элиталық тұқымның жоспарланған көлемiн өндiру жөнiндегi жұмыстар кешенiн қамтамасыз етуге арналған меншiк, лизинг немесе мүлiктiк жалға алу құқығындағы не сенiмгерлiк басқарудағы тұқым тазалайтын техниканы және тұқымды дәрiлейтiн техниканы қоса алғанда, ауыл шаруашылығы техникасының болуы</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Тұқымдар партияларын олардың араласуына жол бермей орналастыруға мүмкіндік беретін меншiк, лизинг немесе мүлiктiк жалға алу құқығындағы не сенiмгерлiк басқарудағы мамандандырылған қырмандардың, тұқымдарды сақтауға арналған сыйымдылықтардың (қоймалық үй-жайлардың және (немесе) сүрлем үлгісіндегі қоймалардың және (немесе) бункерлердің), арнайы ыдыстың, асфальтталған жабық алаңдардың, жемiс, жидек дақылдары мен жүзiмге арналған көму алаңдарының болуы</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өсімдіктерінің әр сорты бойынша өндірілген, сатылған және өз шаруашылығында пайдаланылған тұқымның саны мен сапасына, шыққан тегіне (себу, егістіктерді қабылдау және (немесе) байқаудан өткізу, тұқымды жинау, кіріске алу, тазалау және өңдеу, сату актілері, тұқымдардың аттестаттары, тұқымдардың кондициялығы туралы куәлік, тұқымдарды есепке алу журналы (тиісті жергілікті атқарушы органның тұқым шаруашылығы жөніндегі мемлекеттік инспекторымен нөмірленуге, тігілуге, қолы қойылуға тиіс) есеп жүргізуі</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 бойынша есеп материалдарының кемінде бес жыл сақталуын ұйымдастыруы</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Жоспарланған жұмыс көлемін білікті түрде орындау үшін тиісті білімі бар (ортадан кейінгі немесе жоғары) штат кестесінде көзделген мамандар санының, оның ішінде кемінде бір агроном-тұқымшының болуы</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Ауыл шаруашылығы министрлігі Агроөнеркәсіптік кешендегі мемлекеттік инспекция комитетінің өсімдіктер карантині жөніндегі мемлекеттік инспекторы растаған элиталық тұқым өсіру шаруашылығының аумағында карантиндік объектілердің болмауы, бұл ретте карантиндік объектілер элиталық тұқым өсіру шаруашылығының аумағында сондай-ақ аттестаттау сәтіне дейін кемінде үш жыл кезеңінде болмауы тиіс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Элиталық тұқымдарды өндiруге қойылатын талаптарға сәйкес оларды өндiрудi жүргiзу үшiн егiстiк алаңның (суармалы жерлерде - сумен қамтамасыз етiлген ауыспалы егiстiктiң) болуы тиіс</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өсіру шаруашылықтары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 бойынша жұмыс тәжірибесінің екі жылдан кем емес болуы</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екінші және үшінші көбейтілген тұқымдарды өндіруге қойылатын талаптарға сәйкес олардың өндірісін жүргізу үшін егістік алаңның (суармалы жерлерде - сумен қамтамасыз етілген ауыспалы егістіктің) болуы</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Бірінші, екінші және үшінші көбейтілген тұқым өндіру жүргізілетін ауыл шаруашылығы өсімдігінің ерекшеліктерін ескере отырып, нақты топырақты-климаттық аймаққа арналған ғылыми негізделген ұсыныстарға сәйкес енгізілген тұқым шаруашылығы ауыспалы егістерінің болуы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егіс алаңының 20 пайызынан кем емес тұқым шаруашылығы егістіктерінің болуы</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 жүргізілетін өңделетін дақылдардың саны - 3-тен көп болмауын сақтауы</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Аттестаттау мәніне сәйкес тұқым шаруашылығы жүргізілетін әр дақыл бойынша сорттардың саны - 3-тен көп болмауын сақтауы</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Аттестаттауға өтініш берген сәттен бастап кемінде үш жыл мерзімге бірінші, екінші және үшінші көбейтілген тұқым ендіру үшін элиталық тұқым жеткізу туралы элиталық тұқым өсіруші шаруашылықпен жасалған шарттың болуы</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өсімдіктері селекциясы саласында ғылыми-зерттеу жұмыстарын жүзеге асыратын жеке немесе заңды тұлғамен бірінші, екінші және үшінші көбейтілген тұқым өндірісін ғылыми сүйемелдеу туралы шарттың болуы</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агроэкологиялық аймақ үшін ұсынылған ауыл шаруашылығы өсімдіктерін өсіру агротехнологиясын сақтауы</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 Агроөнеркәсіптік кешендегі мемлекеттік инспекция комитетінің өсімдіктер карантині жөніндегі мемлекеттік инспекторы растаған тұқым өсіру шаруашылығы аумағында карантиндік объектілердің болмауы, бұл ретте карантиндік объектілер тұқым өсіру шаруашылығының аумағында сондай-ақ аттестаттау сәтіне дейін кемінде үш жыл кезеңінде болмауы</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бір агроном-тұқымшының болуы</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Дақылдар мен сорттар бойынша сорт жаңарту жоспарының болуы</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екінші және үшінші көбейтілген тұқым сорттарын өсіру схемасының болуы</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екінші және үшінші көбейтілген тұқымның жоспарланған мөлшерін өндіру үшін түр-түрде және көлемде негізгі тұқым материалының болуы</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Бiрiншi, екiншi және үшiншi көбейтiлген тұқымдардың жоспарланған көлемiн өндiру жөнiндегi жұмыстардың бүкіл кешенiн қамтамасыз ету үшiн меншiк, лизинг немесе мүлiктiк жалға алу құқығындағы не сенiмгерлiк басқарудағы тұқым тазалайтын техниканы және тұқымды дәрiлеуге арналған техниканы қоса алғанда, ауыл шаруашылығы техникасының болуы</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Тұқымдар партияларын олардың араласуына жол бермей орналастыруға мүмкіндік беретін меншiк, лизинг немесе мүлiктiк жалға алу құқығындағы не сенiмгерлiк басқарудағы мамандандырылған қырмандардың, тұқымдарды сақтауға арналған сыйымдылықтардың (қоймалық үй-жайлардың және (немесе) сүрлем үлгісіндегі қоймалардың және (немесе) бункерлердің), арнайы ыдыстың, асфальтталған жабық алаңдардың, жемiс, жидек дақылдары мен жүзiмге арналған көму алаңдарының болуы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өсімдіктерінің әр сорты бойынша өндірілген, сатылған және өз шаруашылығында пайдаланылған тұқымның саны мен сапасына, шыққан тегіне (себу, егістіктерді қабылдау және (немесе) байқаудан өткізу, тұқымды жинау, кіріске алу, тазалау және өңдеу, сату актілері, тұқымдардың аттестаты, тұқымдардың куәлігі, тұқымдардың кондициялығы туралы куәлік, тұқымдарды есепке алу журналы (ол ауданның тиісті жергілікті атқарушы органының тұқым шаруашылығы жөніндегі мемлекеттік инспекторымен нөмірленуге, тігілуге, қолы қойылуға тиіс) есеп жүргізуі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 бойынша есеп материалдарының кемінде үш жыл сақталуын қамтамасыз етуі</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өткізушілер</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Жоспарланған жұмыс көлемін білікті түрде орындау үшін тиісті білімі бар (ортадан кейінгі немесе жоғары) штат кестесінде көзделген мамандар санының, оның ішінде кемінде бір агроном-тұқымшының болуы</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Кейіннен сату үшін ауыл шаруашылығы өсімдіктерінің тұқымын жеткізу туралы тұқым өндірушілермен (тұқым жеткізушілер тұқымды шетелдік жеткізушілерден сатып алған (импорт бойынша) жағдайда) жыл сайын жасалатын шарттың болуы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Тұқымдар партияларын олардың араласуына жол бермей орналастыруға мүмкіндік беретін меншiк, лизинг немесе мүлiктiк жалға алу құқығындағы не сенiмгерлiк басқарудағы мамандандырылған қырмандардың, тұқымдарды сақтауға арналған сыйымдылықтардың (қоймалық үй-жайлардың және (немесе) сүрлем үлгісіндегі қоймалардың және (немесе) бункерлердің), арнайы ыдыстың, асфальтталған жабық алаңдардың, жемiс, жидек дақылдары мен жүзiмге арналған көму алаңдарының болуы</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өсiмдiктерiнiң тұқымдарын сақтау, тазалау және өткiзу жөнiндегi барлық жұмыстар кешенiн қамтамасыз ету үшiн меншiк құқығындағы немесе лизингке немесе мүлiктiк жалға не сенiмгерлiк басқаруға алынған мамандандырылған техниканың болуы</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өсімдіктері тұқымының әр партиясы бойынша өткізілетін тұқымның саны мен сапасының, шыққан тегінің есебін, тұқымды құжатталуы, нөмірленуі, тігілуі және облыстың тиісті жергілікті атқарушы органының тұқым шаруашылығы жөніндегі мемлекеттік инспекторы қол қоюы тиіс тұқымдарды есепке алу журналын жүргізуі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Тұқымдарды сақтау және өткізу материалдарының кемінде үш жыл сақталуын қамтамасыз етуі</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қорғалатын өсімдіктер сорттарының мемлекеттік тізіліміне енгізілген ауыл шаруашылығы өсімдіктері сорттарының тұқымдарын сатқан жағдайда «Селекциялық жетістіктерді қорғау туралы» Қазақстан Республикасының 1999 жылғы 13 шілдедегі Заңына сәйкес патент иесі (лицензиар) тұқым өткізушіге (лицензиатқа) селекциялық жетістікті уақытша пайдалану құқығын беретін лицензиялық шарттың болуы</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 Агроөнеркәсіптік кешендегі мемлекеттік инспекция комитетінің өсімдіктер карантині жөніндегі мемлекеттік инспекторы растаған карантиндік объектілердің болмауы.</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Тексеру жүргізетін лауазымды тұлға (тұлғалар):</w:t>
      </w:r>
    </w:p>
    <w:p>
      <w:pPr>
        <w:spacing w:after="0"/>
        <w:ind w:left="0"/>
        <w:jc w:val="both"/>
      </w:pPr>
      <w:r>
        <w:rPr>
          <w:rFonts w:ascii="Times New Roman"/>
          <w:b w:val="false"/>
          <w:i w:val="false"/>
          <w:color w:val="000000"/>
          <w:sz w:val="28"/>
        </w:rPr>
        <w:t>________________________________________________ ______________</w:t>
      </w:r>
      <w:r>
        <w:br/>
      </w:r>
      <w:r>
        <w:rPr>
          <w:rFonts w:ascii="Times New Roman"/>
          <w:b w:val="false"/>
          <w:i w:val="false"/>
          <w:color w:val="000000"/>
          <w:sz w:val="28"/>
        </w:rPr>
        <w:t>
Тегі, аты, әкесінің аты (бар болған жағдайда),   лауазымы (қолы)</w:t>
      </w:r>
    </w:p>
    <w:p>
      <w:pPr>
        <w:spacing w:after="0"/>
        <w:ind w:left="0"/>
        <w:jc w:val="both"/>
      </w:pPr>
      <w:r>
        <w:rPr>
          <w:rFonts w:ascii="Times New Roman"/>
          <w:b w:val="false"/>
          <w:i w:val="false"/>
          <w:color w:val="000000"/>
          <w:sz w:val="28"/>
        </w:rPr>
        <w:t>________________________________________________ ______________</w:t>
      </w:r>
      <w:r>
        <w:br/>
      </w:r>
      <w:r>
        <w:rPr>
          <w:rFonts w:ascii="Times New Roman"/>
          <w:b w:val="false"/>
          <w:i w:val="false"/>
          <w:color w:val="000000"/>
          <w:sz w:val="28"/>
        </w:rPr>
        <w:t>
Тегі, аты, әкесінің аты (бар болған жағдайда),   лауазымы (қолы)</w:t>
      </w:r>
    </w:p>
    <w:p>
      <w:pPr>
        <w:spacing w:after="0"/>
        <w:ind w:left="0"/>
        <w:jc w:val="both"/>
      </w:pPr>
      <w:r>
        <w:rPr>
          <w:rFonts w:ascii="Times New Roman"/>
          <w:b w:val="false"/>
          <w:i w:val="false"/>
          <w:color w:val="000000"/>
          <w:sz w:val="28"/>
        </w:rPr>
        <w:t>Тексерілетін субъектінің басшысы:</w:t>
      </w:r>
      <w:r>
        <w:br/>
      </w:r>
      <w:r>
        <w:rPr>
          <w:rFonts w:ascii="Times New Roman"/>
          <w:b w:val="false"/>
          <w:i w:val="false"/>
          <w:color w:val="000000"/>
          <w:sz w:val="28"/>
        </w:rPr>
        <w:t>
________________________________________________ ______________</w:t>
      </w:r>
      <w:r>
        <w:br/>
      </w:r>
      <w:r>
        <w:rPr>
          <w:rFonts w:ascii="Times New Roman"/>
          <w:b w:val="false"/>
          <w:i w:val="false"/>
          <w:color w:val="000000"/>
          <w:sz w:val="28"/>
        </w:rPr>
        <w:t>
Тегі, аты, әкесінің аты (бар болған жағдайда),   лауазымы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