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f0a1" w14:textId="e47f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темiр жол желiсiнiң қызметтерiн көрсететiн табиғи монополиялар субъектiлерiнiң табыстарды, шығындар мен қолданысқа енгiзiлген активтердi бөлектеп есепке алуды жүргiзу ережесiн бекiту туралы" Қазақстан Республикасы Табиғи монополияларды реттеу агенттігі төрағасының 2005 жылғы 30 желтоқсандағы № 384-НҚ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30 маусымдағы № 472 бұйрығы. Қазақстан Республикасының Әділет министрлігінде 2015 жылы 10 қыркүйекте № 12050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Республикасының 1998 жылғы 9 шiлдедегі Заңының </w:t>
      </w:r>
      <w:r>
        <w:rPr>
          <w:rFonts w:ascii="Times New Roman"/>
          <w:b w:val="false"/>
          <w:i w:val="false"/>
          <w:color w:val="000000"/>
          <w:sz w:val="28"/>
        </w:rPr>
        <w:t>14-бабының</w:t>
      </w:r>
      <w:r>
        <w:rPr>
          <w:rFonts w:ascii="Times New Roman"/>
          <w:b w:val="false"/>
          <w:i w:val="false"/>
          <w:color w:val="000000"/>
          <w:sz w:val="28"/>
        </w:rPr>
        <w:t xml:space="preserve"> 1-тармағының 15) тармақшасына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"Магистральдық темiр жол желiсiнiң қызметтерiн көрсететiн табиғи монополиялар субъектiлерiнiң табыстарды, шығындар мен қолданысқа енгiзiлген активтердi бөлектеп есепке алуды жүргiзу ережесiн бекiту туралы" Қазақстан Республикасы Табиғи монополияларды реттеу агенттігі төрағасының 2005 жылғы 30 желтоқсандағы № 384-НҚ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4060 нөмірмен тіркелді, 2006 жылғы 22 қыркүйектегі № 170 (1150) "Заң газеті" газетінде жарияланды)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4" w:id="2"/>
    <w:p>
      <w:pPr>
        <w:spacing w:after="0"/>
        <w:ind w:left="0"/>
        <w:jc w:val="both"/>
      </w:pPr>
      <w:r>
        <w:rPr>
          <w:rFonts w:ascii="Times New Roman"/>
          <w:b w:val="false"/>
          <w:i w:val="false"/>
          <w:color w:val="000000"/>
          <w:sz w:val="28"/>
        </w:rPr>
        <w:t xml:space="preserve">
      көрсетілген бұйрықпен бекітілген Магистральдық темір жол желісінің қызметтерін көрсететін табиғи монополиялар субъектілерінің табыстарды, шығындар мен қолданысқа енгізілген активтерді бөлектеп есепке алуды жүргізу </w:t>
      </w:r>
      <w:r>
        <w:rPr>
          <w:rFonts w:ascii="Times New Roman"/>
          <w:b w:val="false"/>
          <w:i w:val="false"/>
          <w:color w:val="000000"/>
          <w:sz w:val="28"/>
        </w:rPr>
        <w:t>ережесінде</w:t>
      </w:r>
      <w:r>
        <w:rPr>
          <w:rFonts w:ascii="Times New Roman"/>
          <w:b w:val="false"/>
          <w:i w:val="false"/>
          <w:color w:val="000000"/>
          <w:sz w:val="28"/>
        </w:rPr>
        <w:t xml:space="preserve"> (бұдан әрі – Ереже):</w:t>
      </w:r>
    </w:p>
    <w:bookmarkEnd w:id="2"/>
    <w:bookmarkStart w:name="z5" w:id="3"/>
    <w:p>
      <w:pPr>
        <w:spacing w:after="0"/>
        <w:ind w:left="0"/>
        <w:jc w:val="both"/>
      </w:pPr>
      <w:r>
        <w:rPr>
          <w:rFonts w:ascii="Times New Roman"/>
          <w:b w:val="false"/>
          <w:i w:val="false"/>
          <w:color w:val="000000"/>
          <w:sz w:val="28"/>
        </w:rPr>
        <w:t>
      1-тармақ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"1. Осы Магистральдық темір жол желісінің қызметтерін көрсететін табиғи монополиялар субъектілерінің табыстарды, шығындар мен қолданысқа енгізілген активтерді бөлектеп есепке алуды жүргізу ережесі (бұдан әрі – Ереже) "Табиғи монополиялар және реттелетін нарықтар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Табиғи монополияларды реттеу агенттігі төрағасының 2013 жылғы 25 сәуірдегі № 130-НҚ </w:t>
      </w:r>
      <w:r>
        <w:rPr>
          <w:rFonts w:ascii="Times New Roman"/>
          <w:b w:val="false"/>
          <w:i w:val="false"/>
          <w:color w:val="000000"/>
          <w:sz w:val="28"/>
        </w:rPr>
        <w:t>бұйрығымен</w:t>
      </w:r>
      <w:r>
        <w:rPr>
          <w:rFonts w:ascii="Times New Roman"/>
          <w:b w:val="false"/>
          <w:i w:val="false"/>
          <w:color w:val="000000"/>
          <w:sz w:val="28"/>
        </w:rPr>
        <w:t xml:space="preserve"> бекітілген, 2013 жылы 24 мамырда Нормативтік құқықтық актілерді мемлекеттік тіркеу тізілімінде № 8480 тіркелген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тәртібіне (бұдан әрі – Ерекше тәртіп), Қазақстан Республикасының өзге де нормативтік құқықтық актілеріне сәйкес әзірленді және магистральдық темір жол желісінің қызметтерін көрсететін табиғи монополиялар субъектілеріне (бұдан әрі – Субъект) таратылады.";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"Осы Ережеде қолданылатын негiзгi ұғымдар:</w:t>
      </w:r>
    </w:p>
    <w:bookmarkEnd w:id="5"/>
    <w:bookmarkStart w:name="z9" w:id="6"/>
    <w:p>
      <w:pPr>
        <w:spacing w:after="0"/>
        <w:ind w:left="0"/>
        <w:jc w:val="both"/>
      </w:pPr>
      <w:r>
        <w:rPr>
          <w:rFonts w:ascii="Times New Roman"/>
          <w:b w:val="false"/>
          <w:i w:val="false"/>
          <w:color w:val="000000"/>
          <w:sz w:val="28"/>
        </w:rPr>
        <w:t>
      абсорбирленген өндiрiстiк шығындар – қызметтiң бiр түрiнiң қызмет көрсетулерiн ұсынуға қажеттi бiрiншi деңгейдегi жауапкершiлiк орталықтарының жалпы өндiрiстiк шығындарының жиынтығы;</w:t>
      </w:r>
    </w:p>
    <w:bookmarkEnd w:id="6"/>
    <w:bookmarkStart w:name="z10" w:id="7"/>
    <w:p>
      <w:pPr>
        <w:spacing w:after="0"/>
        <w:ind w:left="0"/>
        <w:jc w:val="both"/>
      </w:pPr>
      <w:r>
        <w:rPr>
          <w:rFonts w:ascii="Times New Roman"/>
          <w:b w:val="false"/>
          <w:i w:val="false"/>
          <w:color w:val="000000"/>
          <w:sz w:val="28"/>
        </w:rPr>
        <w:t>
      қызмет түрі – пайда алу мақсатында кешенді қызмет көрсетуге, жұмыстар орындауға және тауарлар өндiруге байланысты операциялық қызмет;</w:t>
      </w:r>
    </w:p>
    <w:bookmarkEnd w:id="7"/>
    <w:bookmarkStart w:name="z11" w:id="8"/>
    <w:p>
      <w:pPr>
        <w:spacing w:after="0"/>
        <w:ind w:left="0"/>
        <w:jc w:val="both"/>
      </w:pPr>
      <w:r>
        <w:rPr>
          <w:rFonts w:ascii="Times New Roman"/>
          <w:b w:val="false"/>
          <w:i w:val="false"/>
          <w:color w:val="000000"/>
          <w:sz w:val="28"/>
        </w:rPr>
        <w:t>
      қосылған шығыстар – аймақтық, желiлiк және корпоративтiк деңгейлердегi жауапкершiлiк орталықтарының және орталықтандырылған жабдықтаудың бiрiншi деңгейдегi жауапкершiлiк орталықтарының жалпы және әкiмшiлiк шығыстарын, сондай-ақ орталықтандырылған жабдықтаудың бiрiншi деңгейдегi жауапкершiлiк орталықтарының өндiрiстiк шығындарын қамтитын шығыстар;</w:t>
      </w:r>
    </w:p>
    <w:bookmarkEnd w:id="8"/>
    <w:bookmarkStart w:name="z12" w:id="9"/>
    <w:p>
      <w:pPr>
        <w:spacing w:after="0"/>
        <w:ind w:left="0"/>
        <w:jc w:val="both"/>
      </w:pPr>
      <w:r>
        <w:rPr>
          <w:rFonts w:ascii="Times New Roman"/>
          <w:b w:val="false"/>
          <w:i w:val="false"/>
          <w:color w:val="000000"/>
          <w:sz w:val="28"/>
        </w:rPr>
        <w:t>
      жанама операциялар – қызмет түрлерiнiң көрсетiлетiн қызметтерiнiң (тауарларының, жұмыстарының) өзiндiк құнына енгiзiлетiн бiрнеше негiзгi операцияларды жүзеге асыру yшiн орындалатын операциялар;</w:t>
      </w:r>
    </w:p>
    <w:bookmarkEnd w:id="9"/>
    <w:bookmarkStart w:name="z13" w:id="10"/>
    <w:p>
      <w:pPr>
        <w:spacing w:after="0"/>
        <w:ind w:left="0"/>
        <w:jc w:val="both"/>
      </w:pPr>
      <w:r>
        <w:rPr>
          <w:rFonts w:ascii="Times New Roman"/>
          <w:b w:val="false"/>
          <w:i w:val="false"/>
          <w:color w:val="000000"/>
          <w:sz w:val="28"/>
        </w:rPr>
        <w:t>
      операциялық қызмет – табыс алу бойынша Субъектiнiң негiзгі қызметi және инвестициялық пен қаржылықтан айырмашылығы бар қызмет;</w:t>
      </w:r>
    </w:p>
    <w:bookmarkEnd w:id="10"/>
    <w:bookmarkStart w:name="z14" w:id="11"/>
    <w:p>
      <w:pPr>
        <w:spacing w:after="0"/>
        <w:ind w:left="0"/>
        <w:jc w:val="both"/>
      </w:pPr>
      <w:r>
        <w:rPr>
          <w:rFonts w:ascii="Times New Roman"/>
          <w:b w:val="false"/>
          <w:i w:val="false"/>
          <w:color w:val="000000"/>
          <w:sz w:val="28"/>
        </w:rPr>
        <w:t>
      бөлектеп есепке алу – қызметтiң реттелiп көрсетiлетiн түрлерiнiң өзiндiк құнын, қызметтерге арналған тарифтiк смета мен тарифтер есептеудi талдау мақсатында Субъектiнiң қызметi, қызмет көрсетулерi, операциялары бойынша бөлектеп шығындар, табыстар, қолданысқа енгiзiлген активтер және өндiрiстiк көрсеткiштер туралы ақпаратты жинау және қорытындылау жүйесi;</w:t>
      </w:r>
    </w:p>
    <w:bookmarkEnd w:id="11"/>
    <w:bookmarkStart w:name="z15" w:id="12"/>
    <w:p>
      <w:pPr>
        <w:spacing w:after="0"/>
        <w:ind w:left="0"/>
        <w:jc w:val="both"/>
      </w:pPr>
      <w:r>
        <w:rPr>
          <w:rFonts w:ascii="Times New Roman"/>
          <w:b w:val="false"/>
          <w:i w:val="false"/>
          <w:color w:val="000000"/>
          <w:sz w:val="28"/>
        </w:rPr>
        <w:t>
      қызметтiң реттелiп көрсетiлетiн түрi – Заңда айқындалған табиғи монополиялардың саласы;</w:t>
      </w:r>
    </w:p>
    <w:bookmarkEnd w:id="12"/>
    <w:bookmarkStart w:name="z16" w:id="13"/>
    <w:p>
      <w:pPr>
        <w:spacing w:after="0"/>
        <w:ind w:left="0"/>
        <w:jc w:val="both"/>
      </w:pPr>
      <w:r>
        <w:rPr>
          <w:rFonts w:ascii="Times New Roman"/>
          <w:b w:val="false"/>
          <w:i w:val="false"/>
          <w:color w:val="000000"/>
          <w:sz w:val="28"/>
        </w:rPr>
        <w:t>
      жауапкершiлiк орталығы – Субъектінің дербес құрылымдық бөлiмшесi. Жауапкершiлiк орталықтары Субъектiнiң салалық және географиялық сегменттерi мен ұйымдастыру деңгейлерi бойынша топтастырылады;</w:t>
      </w:r>
    </w:p>
    <w:bookmarkEnd w:id="13"/>
    <w:bookmarkStart w:name="z17" w:id="14"/>
    <w:p>
      <w:pPr>
        <w:spacing w:after="0"/>
        <w:ind w:left="0"/>
        <w:jc w:val="both"/>
      </w:pPr>
      <w:r>
        <w:rPr>
          <w:rFonts w:ascii="Times New Roman"/>
          <w:b w:val="false"/>
          <w:i w:val="false"/>
          <w:color w:val="000000"/>
          <w:sz w:val="28"/>
        </w:rPr>
        <w:t>
      бiрiншi деңгейдегi жауапкершiлiк орталығы – тұтынушыларға өнiмдi өндiрумен, жұмысты орындаумен және қызметтер көрсетумен тiкелей айналысатын жауапкершiлiк орталығы;</w:t>
      </w:r>
    </w:p>
    <w:bookmarkEnd w:id="14"/>
    <w:bookmarkStart w:name="z18" w:id="15"/>
    <w:p>
      <w:pPr>
        <w:spacing w:after="0"/>
        <w:ind w:left="0"/>
        <w:jc w:val="both"/>
      </w:pPr>
      <w:r>
        <w:rPr>
          <w:rFonts w:ascii="Times New Roman"/>
          <w:b w:val="false"/>
          <w:i w:val="false"/>
          <w:color w:val="000000"/>
          <w:sz w:val="28"/>
        </w:rPr>
        <w:t>
      аймақтық деңгейдегi жауапкершiлiк орталығы – бiрiншi деңгейдегi жауапкершiлiк орталықтарының тобын басқаратын жауапкершiлiк орталығы;</w:t>
      </w:r>
    </w:p>
    <w:bookmarkEnd w:id="15"/>
    <w:bookmarkStart w:name="z19" w:id="16"/>
    <w:p>
      <w:pPr>
        <w:spacing w:after="0"/>
        <w:ind w:left="0"/>
        <w:jc w:val="both"/>
      </w:pPr>
      <w:r>
        <w:rPr>
          <w:rFonts w:ascii="Times New Roman"/>
          <w:b w:val="false"/>
          <w:i w:val="false"/>
          <w:color w:val="000000"/>
          <w:sz w:val="28"/>
        </w:rPr>
        <w:t>
      желiлiк деңгейдегi жауапкершiлiк орталығы – аймақтық және бiрiншi деңгейлердегi жауапкершiлiк орталықтарын басқаратын жауапкершiлiк орталығы;</w:t>
      </w:r>
    </w:p>
    <w:bookmarkEnd w:id="16"/>
    <w:bookmarkStart w:name="z20" w:id="17"/>
    <w:p>
      <w:pPr>
        <w:spacing w:after="0"/>
        <w:ind w:left="0"/>
        <w:jc w:val="both"/>
      </w:pPr>
      <w:r>
        <w:rPr>
          <w:rFonts w:ascii="Times New Roman"/>
          <w:b w:val="false"/>
          <w:i w:val="false"/>
          <w:color w:val="000000"/>
          <w:sz w:val="28"/>
        </w:rPr>
        <w:t>
      корпоративтiк деңгейдегi жауапкершiлiк орталығы – желiлiк деңгейдегi жауапкершiлiк орталықтарын басқаратын жауапкершiлiк орталығы;</w:t>
      </w:r>
    </w:p>
    <w:bookmarkEnd w:id="17"/>
    <w:bookmarkStart w:name="z21" w:id="18"/>
    <w:p>
      <w:pPr>
        <w:spacing w:after="0"/>
        <w:ind w:left="0"/>
        <w:jc w:val="both"/>
      </w:pPr>
      <w:r>
        <w:rPr>
          <w:rFonts w:ascii="Times New Roman"/>
          <w:b w:val="false"/>
          <w:i w:val="false"/>
          <w:color w:val="000000"/>
          <w:sz w:val="28"/>
        </w:rPr>
        <w:t>
      уәкілетті орган – табиғи монополиялар және реттелетін нарықтар салаларындағы басшылықты жүзеге асыратын мемлекеттік органның ведомствосы.".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3" w:id="19"/>
    <w:p>
      <w:pPr>
        <w:spacing w:after="0"/>
        <w:ind w:left="0"/>
        <w:jc w:val="both"/>
      </w:pPr>
      <w:r>
        <w:rPr>
          <w:rFonts w:ascii="Times New Roman"/>
          <w:b w:val="false"/>
          <w:i w:val="false"/>
          <w:color w:val="000000"/>
          <w:sz w:val="28"/>
        </w:rPr>
        <w:t xml:space="preserve">
      "15. Осы Ережеде белгiленген нысандар бойынша есептiлiктi Субъектi бiр күнтiзбелiк жылға тең кезеңге жасайды және осы Ереженің 46-тармағының 7) – 15) тармақшаларында және 47-тармақта көзделген, уәкілетті органның сұрауымен ұсынылатын есептілік нысандарды қоспағанда жылсайын есеп жылынан кейін 1 мамырдан кешіктірмей уәкілетті органға ұсынады.";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"51. Қағаз жеткiзгiшi түрiндегi есептiлiкке басшы немесе бухгалтерлік есеп пен қаржылық есептілік мәселелеріне жетекшілік ететін басшының орынбасары, бас бухгалтер қол қояды және ол мөрмен расталады.</w:t>
      </w:r>
    </w:p>
    <w:bookmarkEnd w:id="20"/>
    <w:bookmarkStart w:name="z26" w:id="21"/>
    <w:p>
      <w:pPr>
        <w:spacing w:after="0"/>
        <w:ind w:left="0"/>
        <w:jc w:val="both"/>
      </w:pPr>
      <w:r>
        <w:rPr>
          <w:rFonts w:ascii="Times New Roman"/>
          <w:b w:val="false"/>
          <w:i w:val="false"/>
          <w:color w:val="000000"/>
          <w:sz w:val="28"/>
        </w:rPr>
        <w:t>
      52. Субъектi қағаз жеткiзгiшi түрiндегi есептiлiктi тiгiлген түрде, беттерiн нөмiрлеп ұсынады және соңғы бетiне басшы немесе бухгалтерлік есеп пен қаржылық есептілік мәселелеріне жетекшілік ететін басшының орынбасары, бас бухгалтердiң қолдары болуға тиiс және Субъектiнiң мөрiмен расталады.".</w:t>
      </w:r>
    </w:p>
    <w:bookmarkEnd w:id="21"/>
    <w:bookmarkStart w:name="z27" w:id="2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тәртіпте:</w:t>
      </w:r>
    </w:p>
    <w:bookmarkEnd w:id="22"/>
    <w:bookmarkStart w:name="z28" w:id="2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тiркеудi;</w:t>
      </w:r>
    </w:p>
    <w:bookmarkEnd w:id="23"/>
    <w:bookmarkStart w:name="z29" w:id="24"/>
    <w:p>
      <w:pPr>
        <w:spacing w:after="0"/>
        <w:ind w:left="0"/>
        <w:jc w:val="both"/>
      </w:pPr>
      <w:r>
        <w:rPr>
          <w:rFonts w:ascii="Times New Roman"/>
          <w:b w:val="false"/>
          <w:i w:val="false"/>
          <w:color w:val="000000"/>
          <w:sz w:val="28"/>
        </w:rPr>
        <w:t>
      2) осы бұйрықты мемлекеттік тіркегеннен кейін оның көшірмесін күнтізбелік он күннің ішінде мерзімді баспасөз басылымдарында және "Әділет" ақпараттық құқықтық жүйеге ресми жариялауға жолдауды;</w:t>
      </w:r>
    </w:p>
    <w:bookmarkEnd w:id="24"/>
    <w:bookmarkStart w:name="z30" w:id="25"/>
    <w:p>
      <w:pPr>
        <w:spacing w:after="0"/>
        <w:ind w:left="0"/>
        <w:jc w:val="both"/>
      </w:pPr>
      <w:r>
        <w:rPr>
          <w:rFonts w:ascii="Times New Roman"/>
          <w:b w:val="false"/>
          <w:i w:val="false"/>
          <w:color w:val="000000"/>
          <w:sz w:val="28"/>
        </w:rPr>
        <w:t xml:space="preserve">
      3) осы бұйрықты Қазақстан Республикасы Ұлттық экономика министрлігінің интернет–ресурсына орналастыруды қамтамасыз етсін. </w:t>
      </w:r>
    </w:p>
    <w:bookmarkEnd w:id="25"/>
    <w:bookmarkStart w:name="z31" w:id="2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Ұлттық экономика жетекші вице-министріне жүктелсін. </w:t>
      </w:r>
    </w:p>
    <w:bookmarkEnd w:id="26"/>
    <w:bookmarkStart w:name="z32"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 Ә. Исекешев   </w:t>
      </w:r>
    </w:p>
    <w:p>
      <w:pPr>
        <w:spacing w:after="0"/>
        <w:ind w:left="0"/>
        <w:jc w:val="both"/>
      </w:pPr>
      <w:r>
        <w:rPr>
          <w:rFonts w:ascii="Times New Roman"/>
          <w:b w:val="false"/>
          <w:i w:val="false"/>
          <w:color w:val="000000"/>
          <w:sz w:val="28"/>
        </w:rPr>
        <w:t>
      2015 жылғы 11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