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5320" w14:textId="13e5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Регламентін бекіту туралы" Қазақстан Республикасы Энергетика Министрінің 2014 жылғы 7 қарашадағы № 112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2015 жылғы 30 шілдедегі № 507 бұйрығы. Қазақстан Республикасының Әділет министрлігінде 2015 жылы 1 қыркүйекте № 11988 болып тіркелді. Күші жойылды - Қазақстан Республикасы Энергетика министрінің 2016 жылғы 22 маусымдағы № 263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22.06.2016 </w:t>
      </w:r>
      <w:r>
        <w:rPr>
          <w:rFonts w:ascii="Times New Roman"/>
          <w:b w:val="false"/>
          <w:i w:val="false"/>
          <w:color w:val="ff0000"/>
          <w:sz w:val="28"/>
        </w:rPr>
        <w:t>№ 263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министрлігінің Регламентін бекіту туралы» Қазақстан Республикасы Энергетика министрінің 2014 жылғы 7 қарашадағы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9954 болып тіркелген, «Әділет» ақпараттық-құқықтық жүйесінде 2015 жылғы 18 ақпанда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Энергетика министрлігінің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Қазақстан Республикасы Үкіметінің қаулылары мен Қазақстан Республикасы Премьер-Министрі өкімдерінің жобалары мүдделі мемлекеттік органдармен олардың заңнамада белгіленген құзыретіне орай мемлекеттік органдардың интранет-порталында (бұдан әрі – МО ИП) электрондық құжаттар нысанында келісіледі, бұл ретте жобаны келісудегі мұндай мүдделілік жобада қаралатын мәселелердің мәні негізге алына отырып, сондай-ақ жобада министрліктің немесе оның басшысының атына тапсырмалар болған кезде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«Қазақстан Республикасы Президентінің заң шығару бастамасы құқығын қамтамасыз ету және Республика Президентінің кейбір актілерін Қазақстан Республикасының Конституциясына сәйкес келтіру жөніндегі шаралар туралы» Қазақстан Республикасы Президентінің 2007 жылғы 21 қыркүйектегі № 413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нормативтік құқықтық актіні (бұдан әрі - жоба) Министрлік келіскен және пысықтаған жағдайда, осы Жарлықта көрсетілген мерзімдер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 жобаларын Қазақстан Республикасының Әділет министрлігіне заң сараптамасын жүргізуге жіберген кезде олардың көшірмелері мен қосымшаларын Заң қызметі департаментінің басшысы дәйектейді.»;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министрлігіне мемлекеттік тіркеуге жіберілетін Министрліктің бұйрықтарына (бірлескен бұйрықтарына) Заң қызметі департаменті осы Регламентке 2-қосымшаға сәйкес нысан бойынша келісу парағын Құжаттамалық қамтамасыз ету басқармасына бергеннен кейін құжатқа шығыс нөмірі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«68. Министрліктің лауазымды тұлғаларының заң жобаларын қарау жөніндегі Қазақстан Республикасы Парламенті палаталарының отырыстарына қатысуы, сондай-ақ Министрлік әзірлеген заң жобаларын Қазақстан Республикасы Парламенті Мәжілісінің немесе Сенат отырысында ұсынатын уәкілетті тұлғаны алмастыру Үкімет Регламенті белгілеген тәртіпте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78-тармақтың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Министрлік жинақтаушы мемлекеттік орган болса, Қазақстан Республикасы Президентінің тапсырмаларын орындау туралы ақпаратты Қазақстан Республикасы Үкіметіне енгізген кезде бірге орындаушы мемлекеттік органдардың ілеспе хаттарын қоса беру, ал олар болмаған жағдайда, тиісті ақпаратты ұсынбаған мемлекеттік органдардың тізбесін көрсету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«Орындау мерзімі бес күннен он күнтізбелік күнге дейінгі шұғыл бақылаудағы құжаттарды орындау үшін әзірленген құжаттар орындау мерзімі аяқталуға дейін бір күннен кешіктірмей міндеттерді бөлісуге сәйкес Министрлік басшылығына қол қоюға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«80. Министрлік Қазақстан Республикасы Президентінің Әкімшілігімен бекітілген Қазақстан Республикасы Президентінің орындалуы екі және одан көп мемлекеттік органға жүктелген, сондай-ақ қандай да бір саладағы/аядағы/өңірдегі нормалар мен қағидаларды қалыптастыруға және жаңаларын іске асыруға не қолданыстағыларын өзгертуге бағытталған кешенді және ведомствоаралық сипатта болатын актілерін немесе тапсырмаларын орындау тұжырымдамасын алған соң он жұмыс күн ішінде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қағидаларында көзделген нысан бойынша ұйымдастыру іс-шараларының (жол картасының) жоспарын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«83. Егер Қазақстан Республикасы Президенті актілерінің (тапсырмаларының) тармақтарын белгіленген мерзімде орындау мүмкін болмаған жағдайда, онда тиісті актіні (тапсырманы) орындауға жауапты Министрліктің құрылымдық бөлімшесінің басшысы Қазақстан Республикасы Президенті актісінің (тапсырмасының) орындалу барысы туралы ақпаратты және орындау мерзімін ұзарту қажеттілігіне дәлел келтірілген негіздемені ұсына отырып, Министрліктің жауапты хатшысының немесе Қазақстан Республикасы Президентінің осы актісінің (тапсырмасының) орындалуына жетекшілік ететін вице-министрдің атына белгіленген мерзімге дейін төрт жұмыс күнінен кешіктірмей қызметтік жазбаны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Қазақстан Республикасы Президенті Әкімшілігінің, Қазақстан Республикасы Премьер-Министрі Кеңсесінің атына құжаттарды бақылаудан алу немесе оларды орындау мерзімдерін ұзарту өтінішімен жазылған хатқа Министр немесе оның міндетін атқарушы адам, өз өкілеттігі шегінде жауапты хатшы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бөлімшелерінің мемлекеттік жоспарлау жүйесі құжаттарын әзірлеу, іске асыру, мониторингтеу және бағалау барысында ішкі өзара іс-қимылында:</w:t>
      </w:r>
      <w:r>
        <w:br/>
      </w:r>
      <w:r>
        <w:rPr>
          <w:rFonts w:ascii="Times New Roman"/>
          <w:b w:val="false"/>
          <w:i w:val="false"/>
          <w:color w:val="000000"/>
          <w:sz w:val="28"/>
        </w:rPr>
        <w:t>
</w:t>
      </w:r>
      <w:r>
        <w:rPr>
          <w:rFonts w:ascii="Times New Roman"/>
          <w:b w:val="false"/>
          <w:i w:val="false"/>
          <w:color w:val="000000"/>
          <w:sz w:val="28"/>
        </w:rPr>
        <w:t>
      «Мемлекеттің аумақтық-кеңістік дамуының болжамды схемасы» бөлімінде:</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9"/>
        <w:gridCol w:w="9431"/>
      </w:tblGrid>
      <w:tr>
        <w:trPr>
          <w:trHeight w:val="18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және бағалау</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бөлімшелер ақпаратты Стратегиялық жоспарлау және талдау департаменті ұсынады.</w:t>
            </w:r>
            <w:r>
              <w:br/>
            </w:r>
            <w:r>
              <w:rPr>
                <w:rFonts w:ascii="Times New Roman"/>
                <w:b w:val="false"/>
                <w:i w:val="false"/>
                <w:color w:val="000000"/>
                <w:sz w:val="20"/>
              </w:rPr>
              <w:t>
Стратегиялық жоспарлау және талдау департаменті Министріктің құзыреті шегінде ақпаратты қалыптастырады және мемлекеттік жоспарлау бойынша уәкілетті органға жолдайды.</w:t>
            </w:r>
          </w:p>
        </w:tc>
      </w:tr>
    </w:tbl>
    <w:bookmarkStart w:name="z3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9"/>
        <w:gridCol w:w="9431"/>
      </w:tblGrid>
      <w:tr>
        <w:trPr>
          <w:trHeight w:val="18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және бағалау</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бөлімшелер ақпаратты Стратегиялық жоспарлау және талдау департаментіне ұсынады.</w:t>
            </w:r>
            <w:r>
              <w:br/>
            </w:r>
            <w:r>
              <w:rPr>
                <w:rFonts w:ascii="Times New Roman"/>
                <w:b w:val="false"/>
                <w:i w:val="false"/>
                <w:color w:val="000000"/>
                <w:sz w:val="20"/>
              </w:rPr>
              <w:t>
Стратегиялық жоспарлау және талдау департаменті Министрліктің құзыреті шегінде ақпаратты қалыптастырады және мемлекеттік жоспарлау жөніндегі уәкілетті органға жолдайды.</w:t>
            </w:r>
          </w:p>
        </w:tc>
      </w:tr>
    </w:tbl>
    <w:bookmarkStart w:name="z3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«Министрліктің 5 жылға арналған стратегиялық жоспары» бөлімінде:</w:t>
      </w:r>
      <w:r>
        <w:br/>
      </w:r>
      <w:r>
        <w:rPr>
          <w:rFonts w:ascii="Times New Roman"/>
          <w:b w:val="false"/>
          <w:i w:val="false"/>
          <w:color w:val="000000"/>
          <w:sz w:val="28"/>
        </w:rPr>
        <w:t>
</w:t>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9"/>
        <w:gridCol w:w="9431"/>
      </w:tblGrid>
      <w:tr>
        <w:trPr>
          <w:trHeight w:val="18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жоспары әр үш жыл сайын бес жылдық мерзімге Қазақстан Республикасының стратегиялық және бағдарламалық құжаттарының, әлеуметтік-экономикалық даму болжамының негізінде әзірленеді.</w:t>
            </w:r>
            <w:r>
              <w:br/>
            </w:r>
            <w:r>
              <w:rPr>
                <w:rFonts w:ascii="Times New Roman"/>
                <w:b w:val="false"/>
                <w:i w:val="false"/>
                <w:color w:val="000000"/>
                <w:sz w:val="20"/>
              </w:rPr>
              <w:t>
Министрліктің стратегиялық жоспары мемлекеттік орган қызметінің стратегиялық бағыттарын, мақсаттарын, міндеттерін, жұмыс қорытындыларының көрсеткіштерін анықтайды, қаржыландыру көлемдерімен қоса бюджеттік бағдарламаларды қамтиды.</w:t>
            </w:r>
            <w:r>
              <w:br/>
            </w:r>
            <w:r>
              <w:rPr>
                <w:rFonts w:ascii="Times New Roman"/>
                <w:b w:val="false"/>
                <w:i w:val="false"/>
                <w:color w:val="000000"/>
                <w:sz w:val="20"/>
              </w:rPr>
              <w:t>
Стратегиялық жоспарлау және талдау департаменті құрылымдық бөлімшелердің ұсыныстары негізінде Министрліктің бес жылға арналған стратегиялық жоспарын бекіту туралы Қазақстан Республикасы Энергетика министрінің бұйрық жобасын әзірлейді.</w:t>
            </w:r>
            <w:r>
              <w:br/>
            </w:r>
            <w:r>
              <w:rPr>
                <w:rFonts w:ascii="Times New Roman"/>
                <w:b w:val="false"/>
                <w:i w:val="false"/>
                <w:color w:val="000000"/>
                <w:sz w:val="20"/>
              </w:rPr>
              <w:t>
Стратегиялық жоспар жобасының «Бюджеттік бағдарламалар» бөлімін Бюджет және қаржылық рәсімдер департаменті әзірлейді және Қазақстан Республикасы Қаржы министрлігімен келіседі. Бюджет және қаржылық ресімдер департаменті - «Бюджеттік бағдарламалар» бөлімін Қазақстан Республикасы Қаржы министрлігі, Қазақстан Республикасы Үкіметі және Қазақстан Республикасы Парламентінде пысықтайды.</w:t>
            </w:r>
            <w:r>
              <w:br/>
            </w:r>
            <w:r>
              <w:rPr>
                <w:rFonts w:ascii="Times New Roman"/>
                <w:b w:val="false"/>
                <w:i w:val="false"/>
                <w:color w:val="000000"/>
                <w:sz w:val="20"/>
              </w:rPr>
              <w:t>
Стратегиялық жоспарлау және талдау департаменті Министрліктің құрылымдық бөлімшелерімен бірге Қазақстан Республикасы Энергетика министрінің бұйрық жобасын мүдделі мемлкеттік органдармен келісуге және Министрліктің стратегиялық жоспар жобасының бектітілуіне қатысады.</w:t>
            </w:r>
            <w:r>
              <w:br/>
            </w:r>
            <w:r>
              <w:rPr>
                <w:rFonts w:ascii="Times New Roman"/>
                <w:b w:val="false"/>
                <w:i w:val="false"/>
                <w:color w:val="000000"/>
                <w:sz w:val="20"/>
              </w:rPr>
              <w:t>
Стратегиялық жоспар заңнамамен белгіленген тәртіпте тіркелегеннен кейін 10 күн ішінде Министрліктің веб-сайтында орналастырылады.</w:t>
            </w:r>
          </w:p>
        </w:tc>
      </w:tr>
    </w:tbl>
    <w:bookmarkStart w:name="z3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9"/>
        <w:gridCol w:w="9431"/>
      </w:tblGrid>
      <w:tr>
        <w:trPr>
          <w:trHeight w:val="18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жоспары әр үш жыл сайын бес жылдық мерзімге Қазақстан Республикасының стратегиялық және бағдарламалық құжаттарының, әлеуметтік-экономикалық даму болжамының негізінде әзірленеді.</w:t>
            </w:r>
            <w:r>
              <w:br/>
            </w:r>
            <w:r>
              <w:rPr>
                <w:rFonts w:ascii="Times New Roman"/>
                <w:b w:val="false"/>
                <w:i w:val="false"/>
                <w:color w:val="000000"/>
                <w:sz w:val="20"/>
              </w:rPr>
              <w:t>
Министрліктің стратегиялық жоспары мемлекеттік орган қызметінің стратегиялық бағыттарын, мақсаттарын, міндеттерін, жұмыс қорытындыларының көрсеткіштерін анықтайды, қаржыландыру көлемдерімен қоса бюджеттік бағдарламаларды қамтиды.</w:t>
            </w:r>
            <w:r>
              <w:br/>
            </w:r>
            <w:r>
              <w:rPr>
                <w:rFonts w:ascii="Times New Roman"/>
                <w:b w:val="false"/>
                <w:i w:val="false"/>
                <w:color w:val="000000"/>
                <w:sz w:val="20"/>
              </w:rPr>
              <w:t>
Стратегиялық жоспарлау және талдау департаменті құрылымдық бөлімшелердің ұсыныстары негізінде Министрліктің бес жылға арналған стратегиялық жоспарын бекіту туралы Қазақстан Республикасы Энергетика министрінің бұйрық жобасын әзірлейді.</w:t>
            </w:r>
            <w:r>
              <w:br/>
            </w:r>
            <w:r>
              <w:rPr>
                <w:rFonts w:ascii="Times New Roman"/>
                <w:b w:val="false"/>
                <w:i w:val="false"/>
                <w:color w:val="000000"/>
                <w:sz w:val="20"/>
              </w:rPr>
              <w:t>
Стратегиялық жоспар жобасының «Бюджеттік бағдарламалар» бөлімін Бюджет және қаржылық рәсімдер департаменті әзірлейді және Қазақстан Республикасы Қаржы министрлігімен келіседі. Бюджет және қаржылық рәсімдер департаменті - «Бюджеттік бағдарламалар» бөлімін Қазақстан Республикасы Қаржы министрлігі, Қазақстан Республикасы Үкіметі және Қазақстан Республикасы Парламентінде пысықтайды.</w:t>
            </w:r>
            <w:r>
              <w:br/>
            </w:r>
            <w:r>
              <w:rPr>
                <w:rFonts w:ascii="Times New Roman"/>
                <w:b w:val="false"/>
                <w:i w:val="false"/>
                <w:color w:val="000000"/>
                <w:sz w:val="20"/>
              </w:rPr>
              <w:t>
Стратегиялық жоспарлау және талдау департаменті Министрліктің құрылымдық бөлімшелерімен бірге Қазақстан Республикасы Энергетика министрінің бұйрық жобасын мүдделі мемлекеттік органдармен келісуге және Министрліктің стратегиялық жоспар жобасының бекітілуіне қатысады.</w:t>
            </w:r>
            <w:r>
              <w:br/>
            </w:r>
            <w:r>
              <w:rPr>
                <w:rFonts w:ascii="Times New Roman"/>
                <w:b w:val="false"/>
                <w:i w:val="false"/>
                <w:color w:val="000000"/>
                <w:sz w:val="20"/>
              </w:rPr>
              <w:t>
Стратегиялық жоспар заңнамамен белгіленген тәртіпте тіркелгеннен кейін 10 күн ішінде Министрліктің веб-сайтында орналастырылады.</w:t>
            </w:r>
          </w:p>
        </w:tc>
      </w:tr>
    </w:tbl>
    <w:bookmarkStart w:name="z4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«Министрліктің операциялық жоспары» бөлімінде:</w:t>
      </w:r>
      <w:r>
        <w:br/>
      </w:r>
      <w:r>
        <w:rPr>
          <w:rFonts w:ascii="Times New Roman"/>
          <w:b w:val="false"/>
          <w:i w:val="false"/>
          <w:color w:val="000000"/>
          <w:sz w:val="28"/>
        </w:rPr>
        <w:t>
</w:t>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9"/>
        <w:gridCol w:w="9431"/>
      </w:tblGrid>
      <w:tr>
        <w:trPr>
          <w:trHeight w:val="18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 ай сайын келесі есепті кезеңнен кейін 5 күннен кешіктірмей Стратегиялық жоспарлау және талдау департаментіне Операциялық жоспарының іс-шараларының іске асырылуын және көрсектіштерге қол жектізу бойынша ақпаратты қалыптастырады және ұсынады.</w:t>
            </w:r>
            <w:r>
              <w:br/>
            </w:r>
            <w:r>
              <w:rPr>
                <w:rFonts w:ascii="Times New Roman"/>
                <w:b w:val="false"/>
                <w:i w:val="false"/>
                <w:color w:val="000000"/>
                <w:sz w:val="20"/>
              </w:rPr>
              <w:t>
Стратегиялық жоспарлау және талдау департаменті құрылымдық бөлімшелер ұсынған ақпаратқа сәйкес есепті дайындайды және есепті айдан кейінгі айдың 15-іне Жауапты хатшыға ұсынады.</w:t>
            </w:r>
          </w:p>
        </w:tc>
      </w:tr>
    </w:tbl>
    <w:bookmarkStart w:name="z4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9"/>
        <w:gridCol w:w="9431"/>
      </w:tblGrid>
      <w:tr>
        <w:trPr>
          <w:trHeight w:val="18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 ай сайын есепті айдан кейінгі айдың 5 күнінен кешіктірмей Стратегиялық жоспарлау және талдау департаментіне Операциялық жоспар іс-шараларының іске асырылуы және көрсеткіштерге қол жеткізу барысы туралы ақпаратты қалыптастырады және ұсынады.</w:t>
            </w:r>
            <w:r>
              <w:br/>
            </w:r>
            <w:r>
              <w:rPr>
                <w:rFonts w:ascii="Times New Roman"/>
                <w:b w:val="false"/>
                <w:i w:val="false"/>
                <w:color w:val="000000"/>
                <w:sz w:val="20"/>
              </w:rPr>
              <w:t>
Стратегиялық жоспарлау және талдау департаменті құрылымдық бөлімшелер ұсынған ақпаратқа сәйкес есепті қалыптастырады және есепті айдан кейінгі айдың 15-іне Жауапты хатшыға ұсынады.</w:t>
            </w:r>
          </w:p>
        </w:tc>
      </w:tr>
    </w:tbl>
    <w:bookmarkStart w:name="z4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«(жобаны ізерлеуші – Қазақстан Республикасы Энергетика министрлігінің құрылымдық бөлімшесі)»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«(жобаны әзірлеуші – Қазақстан Республикасы Энергетика министрлігінің құрылымдық бөлімшесі)».</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Әкімшілік жұмысы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кәсiпорнына жіберуді; </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Энергетика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Энергетика министрлігінің жауапты хатшысы Қ.Б. Сафиновке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Энергетика министрінің </w:t>
      </w:r>
      <w:r>
        <w:br/>
      </w:r>
      <w:r>
        <w:rPr>
          <w:rFonts w:ascii="Times New Roman"/>
          <w:b w:val="false"/>
          <w:i w:val="false"/>
          <w:color w:val="000000"/>
          <w:sz w:val="28"/>
        </w:rPr>
        <w:t>
</w:t>
      </w:r>
      <w:r>
        <w:rPr>
          <w:rFonts w:ascii="Times New Roman"/>
          <w:b w:val="false"/>
          <w:i/>
          <w:color w:val="000000"/>
          <w:sz w:val="28"/>
        </w:rPr>
        <w:t>      міндетін атқарушы                          Ұ. Қарабалин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