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06f6" w14:textId="ef70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624 бұйрығы. Қазақстан Республикасының Әділет министрлігінде 2015 жылы 8 шілдеде № 11576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"Кірме жолдарды және жалпыға ортақ пайдаланылатын жолдарға жалғасатын жолдарды салуға келісу"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09.09.2019 </w:t>
      </w:r>
      <w:r>
        <w:rPr>
          <w:rFonts w:ascii="Times New Roman"/>
          <w:b w:val="false"/>
          <w:i w:val="false"/>
          <w:color w:val="00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"Автомобиль жолдары саласындағы мемлекеттік көрсетілетін қызметтердің регламенттерін бекіту туралы" Қазақстан Республикасы Көлік және коммуникация министрінің 2014 жылғы 26 ақпандағы № 160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9233 болып тіркелген, 2014 жылғы 18 сәуірде "Әділет" ақпараттық-құқықтық жүйесіне, 2014 жылғы 8 қазандағы № 196-174 (28419)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Автомобиль жолдары комитеті (М.Қ. Пішембаев):</w:t>
      </w:r>
    </w:p>
    <w:bookmarkEnd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бұйрық жобасын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09.09.2019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18" w:id="9"/>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9"/>
    <w:bookmarkStart w:name="z19" w:id="10"/>
    <w:p>
      <w:pPr>
        <w:spacing w:after="0"/>
        <w:ind w:left="0"/>
        <w:jc w:val="both"/>
      </w:pPr>
      <w:r>
        <w:rPr>
          <w:rFonts w:ascii="Times New Roman"/>
          <w:b w:val="false"/>
          <w:i w:val="false"/>
          <w:color w:val="000000"/>
          <w:sz w:val="28"/>
        </w:rPr>
        <w:t xml:space="preserve">
      3. Мемлекеттік қызметті көрсету нәтижесі халықаралық және республикалық маңызы бар жалпыға ортақ пайдаланылатын автомобиль жолдарына бөлінген белдеуде сыртқы (көрнекі) жарнама орналастыруға келісім хат (бұдан әрі – келісім хат)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10"/>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20"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21"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12"/>
    <w:bookmarkStart w:name="z22" w:id="13"/>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13"/>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23" w:id="14"/>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14"/>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24" w:id="1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25"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26" w:id="1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17"/>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198" w:id="18"/>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18"/>
    <w:bookmarkStart w:name="z28" w:id="19"/>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19"/>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29" w:id="20"/>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0"/>
    <w:bookmarkStart w:name="z30" w:id="21"/>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жалпыға ортақ</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орналастыруды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2"/>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22"/>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626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жалпыға ортақ</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орналастыруды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34" w:id="23"/>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2-қосымша</w:t>
            </w:r>
          </w:p>
        </w:tc>
      </w:tr>
    </w:tbl>
    <w:bookmarkStart w:name="z74" w:id="24"/>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регламенті</w:t>
      </w:r>
    </w:p>
    <w:bookmarkEnd w:id="24"/>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09.09.2019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9" w:id="25"/>
    <w:p>
      <w:pPr>
        <w:spacing w:after="0"/>
        <w:ind w:left="0"/>
        <w:jc w:val="both"/>
      </w:pPr>
      <w:r>
        <w:rPr>
          <w:rFonts w:ascii="Times New Roman"/>
          <w:b w:val="false"/>
          <w:i w:val="false"/>
          <w:color w:val="000000"/>
          <w:sz w:val="28"/>
        </w:rPr>
        <w:t xml:space="preserve">
      1.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2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40" w:id="26"/>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26"/>
    <w:bookmarkStart w:name="z41" w:id="27"/>
    <w:p>
      <w:pPr>
        <w:spacing w:after="0"/>
        <w:ind w:left="0"/>
        <w:jc w:val="both"/>
      </w:pPr>
      <w:r>
        <w:rPr>
          <w:rFonts w:ascii="Times New Roman"/>
          <w:b w:val="false"/>
          <w:i w:val="false"/>
          <w:color w:val="000000"/>
          <w:sz w:val="28"/>
        </w:rPr>
        <w:t xml:space="preserve">
      3. Мемлекеттік қызмет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2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42" w:id="2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8"/>
    <w:bookmarkStart w:name="z43" w:id="2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29"/>
    <w:bookmarkStart w:name="z44" w:id="30"/>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30"/>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45" w:id="31"/>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31"/>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46" w:id="3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7"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199" w:id="34"/>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34"/>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200" w:id="35"/>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35"/>
    <w:bookmarkStart w:name="z50" w:id="36"/>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36"/>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51" w:id="37"/>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7"/>
    <w:bookmarkStart w:name="z52" w:id="38"/>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жүйелерімен,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және басқа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4" w:id="39"/>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39"/>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жүйелерімен,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және басқа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6" w:id="40"/>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3-қосымша</w:t>
            </w:r>
          </w:p>
        </w:tc>
      </w:tr>
    </w:tbl>
    <w:bookmarkStart w:name="z49" w:id="41"/>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регламенті</w:t>
      </w:r>
    </w:p>
    <w:bookmarkEnd w:id="41"/>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09.09.2019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 w:id="42"/>
    <w:p>
      <w:pPr>
        <w:spacing w:after="0"/>
        <w:ind w:left="0"/>
        <w:jc w:val="left"/>
      </w:pPr>
      <w:r>
        <w:rPr>
          <w:rFonts w:ascii="Times New Roman"/>
          <w:b/>
          <w:i w:val="false"/>
          <w:color w:val="000000"/>
        </w:rPr>
        <w:t xml:space="preserve"> 1-тарау. Жалпы ережелер</w:t>
      </w:r>
    </w:p>
    <w:bookmarkEnd w:id="42"/>
    <w:bookmarkStart w:name="z61" w:id="43"/>
    <w:p>
      <w:pPr>
        <w:spacing w:after="0"/>
        <w:ind w:left="0"/>
        <w:jc w:val="both"/>
      </w:pPr>
      <w:r>
        <w:rPr>
          <w:rFonts w:ascii="Times New Roman"/>
          <w:b w:val="false"/>
          <w:i w:val="false"/>
          <w:color w:val="000000"/>
          <w:sz w:val="28"/>
        </w:rPr>
        <w:t xml:space="preserve">
      1. "Кірме жолдарды және жалпыға ортақ пайдаланылатын жолдарға жалғасатын жолдарды салуға келісу"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4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62" w:id="44"/>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44"/>
    <w:bookmarkStart w:name="z63" w:id="45"/>
    <w:p>
      <w:pPr>
        <w:spacing w:after="0"/>
        <w:ind w:left="0"/>
        <w:jc w:val="both"/>
      </w:pPr>
      <w:r>
        <w:rPr>
          <w:rFonts w:ascii="Times New Roman"/>
          <w:b w:val="false"/>
          <w:i w:val="false"/>
          <w:color w:val="000000"/>
          <w:sz w:val="28"/>
        </w:rPr>
        <w:t xml:space="preserve">
      3. Мемлекеттік қызметті көрсету нәтижесі кірме жолдарды және жалпыға ортақ пайдаланылатын жолдарға жалғасатын жолдарды салуға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45"/>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64" w:id="4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6"/>
    <w:bookmarkStart w:name="z65" w:id="4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47"/>
    <w:bookmarkStart w:name="z66" w:id="48"/>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48"/>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67" w:id="4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49"/>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68" w:id="5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0"/>
    <w:bookmarkStart w:name="z69" w:id="5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70" w:id="52"/>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52"/>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71" w:id="53"/>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53"/>
    <w:bookmarkStart w:name="z72" w:id="5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54"/>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73" w:id="55"/>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5"/>
    <w:bookmarkStart w:name="z202" w:id="56"/>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келісу"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6" w:id="57"/>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57"/>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38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388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8" w:id="58"/>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