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ce59" w14:textId="23cc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нормативтік құқықтық актілеріне банктер арасындағы активтер мен міндеттемелерді бірмезгілде беру жөніндегі операцияны жүргізу мәселелері бойынша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2015 жылғы 8 мамырдағы № 78 қаулысы. Қазақстан Республикасының Әділет министрлігінде 2015 жылы 25 мамырда № 11149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кейбір заңнамалық актілеріне сақтандыру және исламдық қаржыландыру мәселелері бойынша өзгерістер мен толықтырулар енгізу туралы" 2015 жылғы 27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қосымшасына сәйкес Қазақстан Республикасының банктер арасындағы активтер мен міндеттемелерді бірмезгілде беру жөніндегі операцияны жүргізу мәселелері бойынша өзгерістер мен толықтырулар енгізілетін нормативтік құқықтық актілерінің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Бақылау және қадағалау әдіснамасы департаменті (Әбдірахманов Н.А.)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Құқықтық қамтамасыз ету департаментімен (Досмұхамбетов Н.М.) бірлесіп осы қаулыны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Республикасының Әділет министрлігінде мемлекеттік тіркелгеннен кейін күнтізбелік он күн ішінде "Қазақстан Республикасы Әділет министрлігінің республикалық құқықтық ақпарат орталығы" шаруашылық жүргізу құқығындағы республикалық мемлекеттік кәсіпорнының "Әділет" ақпараттық-құқықтық жүйесінде ресми жариялауға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жарияланғаннан кейін оны Қазақстан Республикасы Ұлттық Банкінің ресми интернет-ресурсына орналастыруды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Халықаралық қатынастар және жұртшылықпен байланыс департаменті (Қазыбаев А.Қ.)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Ұлттық Банкі Төрағасының орынбасары Қ.Б. Қожахметовке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Келімбетов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банктер арасындағы активтер мен міндеттемелерді бірмезгілде беру жөніндегі операцияны жүргізу мәселелері бойынша өзгерістер мен толықтырулар енгізілетін нормативтік құқықтық актілерінің тізбесі</w:t>
      </w:r>
    </w:p>
    <w:bookmarkEnd w:id="9"/>
    <w:p>
      <w:pPr>
        <w:spacing w:after="0"/>
        <w:ind w:left="0"/>
        <w:jc w:val="both"/>
      </w:pPr>
      <w:bookmarkStart w:name="z12" w:id="10"/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– ҚР Ұлттық Банкі Басқармасының 29.10.2018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қаулысымен.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Күші жойылды – ҚР Қаржы нарығын реттеу және дамыту агенттігі Басқармасының 30.03.2020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жиырма бір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Күші жойылды - ҚР Қаржы нарығын реттеу және дамыту агенттігі Басқармасының 17.04.2026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Күші жойылды – ҚР Ұлттық Банкі Басқармасының 26.12.2016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Күші жойылды – ҚР Ұлттық Банкі Басқармасының 28.07.2017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Ұлттық Банкі Басқармасының "Қазақстан Республикасының бағалы қағаздар нарығында кастодиандық қызметті жүзеге асыру қағидаларын бекіту туралы" 2013 жылғы 26 шілдедегі 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8692 тіркелген, 2013 жылғы 17 қазанда "Егемен Қазақстан" газетінде № 233 (28172) жарияланған) мынадай толықтыру енгізілсін: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бағалы қағаздар нарығында кастодиандық қызметті жүзеге асыру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70-1-тармақпен толықтырылсын: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"70-1. Осы тарауда белгіленген, клиенттердің активтерін жаңа кастодианға беру тәртібі Қағидалардың 60-тармағында, 61-тармағының 1) және 3) тармақшаларында, 62-тармағының 2), 3), 4), 5), 6) және 7) тармақшаларында, 64, 69 және 70-тармақтарында көзделген талаптарды қоспағанда, "Қазақстан Республикасындағы банктер және банк қызметі туралы" 1995 жылғы 31 тамыздағы Қазақстан Республикасының Заңына сәйкес қайта құрылымдау жүргізілген бас банк (бұдан әрі – бас банк – жаңа кастодиан) пен еншілес банк арасындағы активтер мен міндеттемелерді бірмезгілде беру бойынша операцияны жүргізу шеңберінде кастодианның инвестициялық қордың активтерін жаңа кастодианға беруіне қолданылмайды.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жағдайда еншілес банк - кастодиан клиенттің еншілес банкпен кастодиандық шартты бұзбай және клиенттің бас банкпен - жаңа кастодианмен кастодиандық шартты жасамай клиенттің активтерін қабылдау-өткізу актісінің негізінде инвестициялы қордың активтерін бас банкке - жаңа кастодианға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Клиенттің еншілес банктің - кастодианның активтерін есептен шығару және бас банкте - жаңа кастодианда есепке алу жөніндегі операцияларды кастодиандар клиенттің активтерін қабылдау-өткізу актісінің негізінде клиенттің жеке шоттардан (шоттарға), ағымдағы шоттардан/шоттарға есептен шығару (есепке алу) бойынша операцияларды жүргізуге арналған бұйрықтарды ұсынбай жүргізеді. Бас банктің - жаңа кастодианның клиентке жеке, ағымдағы шоттарды ашуы жеке, ағымдағы шоттарды ашуға арналған бұйрықтарды ұсынбай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Клиенттің активтерін қабылдау-өткізу актісі төрт данада жасалады, инвестициялық қордың (бар болса) инвестициялық портфелін басқарушыға, еншілес банк - кастодианға, бас банк - жаңа кастодианға, уәкілетті органға бір-бір данадан, оған инвестициялық қордың (бар болса) инвестициялық портфелін басқарушының, еншілес банк - кастодианның, бас банк - жаңа кастодианның бірінші басшылары және бас бухгалтерлері қол қояды және олардың мөр таңбаларымен расталады.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банк - жаңа кастодиан мен еншілес банк - кастодиан арасындағы активтер мен міндеттемелерді бірмезгілде беру бойынша операцияны жүргізу кезінде хабарландыру жарияланған күннен бастап күнтізбелік он күн ішінде клиенттерден жазбаша қарсылықтың болмауы клиенттің инвестициялық қордың активтерін бас банкке - жаңа кастодианға беруге келісімі ретінде қаралады.".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банктер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арасындағы активтер мен міндеттемелерді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бірмезгілде беру жөніндегі операцияны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мәселелері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мен толықтырулар енгізілетін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актілерінің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 портфелін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ережесіне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5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Берілетін сақтандыру портфелінің құрамына енгізілетін</w:t>
      </w:r>
      <w:r>
        <w:br/>
      </w:r>
      <w:r>
        <w:rPr>
          <w:rFonts w:ascii="Times New Roman"/>
          <w:b/>
          <w:i w:val="false"/>
          <w:color w:val="000000"/>
        </w:rPr>
        <w:t>сақтандыру шарттарының тізімі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шартының (сақтандыру полисінің) нөмірі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шартының жасалған күні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Сақтанушының атауы не тегі, аты,әкесінің аты (бар болса)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сыныбы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шартының күшіне енген және қолданылуының аяқталған күні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сомасының мөлшері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сыйлықақысының мөлшері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сыйлықақысының мөлшері және төленген күні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жағдайы туралы өтініштің түскен күні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жағдайының басталған күні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төлемі (төлемдері) жүргізілген күн (күндер)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Жүргізілген сақтандыру төлемінің (төлемдерінің) мөлшері (мөлшерлері)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Жүргізілмеген сақтандыру төлемін (төлемдерін) төлеу мерзімдері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Жүргізілмеген сақтандыру төлемінің (төлемдерінің) мөлшері (мөлшерлері)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төлемінен (төлемдерінен) бас тартқан күн (күндер)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шарты бойынша қалыптастырылған сақтандыру резервінің мөлшері (мөлшерлері):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портфелін беруге келісім алу туралы мәліметтер (заңнамамен белгіленген жағдайларда)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сіңірілмеген сыйлықақы резерві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алған, бірақ мәлімделмеген шығындардың резерві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мәлімделген, бірақ реттелмеген шығындардың резерві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Сақтандыру портфелін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сәтінде сақтандыру ұйымына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 ететін тұлғаның қолы 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(қойылған қолды ашып жазу)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 қойылған күн 20___жылғы "___"_____________.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Тізімнің 10-16-бағандары бойынша ақпарат сақтандыру (қайта сақтандыру) ұйымын мәжбүрлеп тарату туралы сот шешімі заңды күшіне енген күннен бастап берілетін, сақтандыру портфеліне кіретін сақтандыру шарттары бойынша толтырылмайды."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