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9e800" w14:textId="f39e8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Республикасындағы кеден ісі туралы" Қазақстан Республикасының Кодексінде көзделген құжаттар мен мәліметтерді ұсыну үшін декларанттар немесе кеден ісі саласындағы қызметті жүзеге асыратын тұлғалар пайдаланатын бағдарламалық өнімдерге қойылатын талаптарды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2015 жылғы 30 наурыздағы № 230 бұйрығы. Қазақстан Республикасының Әділет министрлігінде 2015 жылы 29 сәуірде № 10856 тіркелді. Күші жойылды - Қазақстан Республикасы Қаржы министрінің 2018 жылғы 23 ақпандағы № 266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Қаржы министрінің 23.02.2018 </w:t>
      </w:r>
      <w:r>
        <w:rPr>
          <w:rFonts w:ascii="Times New Roman"/>
          <w:b w:val="false"/>
          <w:i w:val="false"/>
          <w:color w:val="ff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кеден ісі туралы" Қазақстан Республикасының 2010 жылғы 30 маусымдағы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68-бабының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"Қазақстан Республикасындағы кеден ісі туралы" Қазақстан Республикасының Кодексінде көзделген құжаттар мен мәліметтерді ұсыну үшін декларанттар немесе кеден ісі саласындағы қызметті жүзеге асыратын тұлғалар пайдаланатын бағдарламалық өнімдерге қойылатын </w:t>
      </w:r>
      <w:r>
        <w:rPr>
          <w:rFonts w:ascii="Times New Roman"/>
          <w:b w:val="false"/>
          <w:i w:val="false"/>
          <w:color w:val="000000"/>
          <w:sz w:val="28"/>
        </w:rPr>
        <w:t>талаптар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 Мемлекеттік кірістер комитеті (Д.Е. Ерғожин) белгіленген тәртіпте мыналарды қамтамасыз етсін: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бұйрықты мемлекеттік тіркегеннен кейiн күнтiзбелiк он күн ішінде оны мерзімдік баспа басылымдарында және "Әділет" ақпараттық-құқықтық жүйесінде ресми жариялауға жолдауды;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Қаржы министрлігінің интернет-ресурсында орналастыруды.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 ресми жарияланған күннен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Сұлтанов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230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 Республикасындағы кеден ісі туралы" Қазақстан Республикасының Кодексінде көзделген құжаттар мен мәліметтерді ұсыну үшін декларанттар немесе кеден ісі саласындағы қызметті жүзеге асыратын тұлғалар пайдаланатын бағдарламалық өнімдерге қойылатын талаптар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кеден ісі туралы" Қазақстан Республикасының 2010 жылғы 30 маусымдағы </w:t>
      </w:r>
      <w:r>
        <w:rPr>
          <w:rFonts w:ascii="Times New Roman"/>
          <w:b w:val="false"/>
          <w:i w:val="false"/>
          <w:color w:val="000000"/>
          <w:sz w:val="28"/>
        </w:rPr>
        <w:t>Кодексінде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құжаттар мен мәліметтерді ұсыну үшін декларанттар немесе кеден ісі саласындағы қызметті жүзеге асыратын тұлғалар пайдаланатын бағдарламалық өнім: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Кеден одағының кеден заңнамасына сәйкес белгіленген кедендік құжаттарды толтырудың форматтық-логикалық бақылау қамтылады;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Кеден ісі саласындағы </w:t>
      </w:r>
      <w:r>
        <w:rPr>
          <w:rFonts w:ascii="Times New Roman"/>
          <w:b w:val="false"/>
          <w:i w:val="false"/>
          <w:color w:val="000000"/>
          <w:sz w:val="28"/>
        </w:rPr>
        <w:t>уәкілетті органның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интернет-ресурсында, веб-порталында орналастырылатын электрондық анықтамалардан және жіктеуіштерден жаңартылатын нормативтік-анықтамалық ақпарат қамтылады;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Кеден одағының кеден заңнамасына сәйкес белгіленген кедендік құжаттардың электрондық көшірмелерінің құрылымы мен форматы қамтылады;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Қазақстан </w:t>
      </w:r>
      <w:r>
        <w:rPr>
          <w:rFonts w:ascii="Times New Roman"/>
          <w:b w:val="false"/>
          <w:i w:val="false"/>
          <w:color w:val="000000"/>
          <w:sz w:val="28"/>
        </w:rPr>
        <w:t>Республикасының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қолданыстағы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ақпараттық қауіпсіздік талаптарына және Қазақстан Республикасының аумағында қабылданған стандарттарға сәйкес болады.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