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9e800" w14:textId="f39e8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Республикасындағы кеден ісі туралы" Қазақстан Республикасының Кодексінде көзделген құжаттар мен мәліметтерді ұсыну үшін декларанттар немесе кеден ісі саласындағы қызметті жүзеге асыратын тұлғалар пайдаланатын бағдарламалық өнімдерге қойылатын талаптарды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2015 жылғы 30 наурыздағы № 230 бұйрығы. Қазақстан Республикасының Әділет министрлігінде 2015 жылы 29 сәуірде № 10856 тіркелді. Күші жойылды - Қазақстан Республикасы Қаржы министрінің 2018 жылғы 23 ақпандағы № 266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Қаржы министрінің 23.02.2018 </w:t>
      </w:r>
      <w:r>
        <w:rPr>
          <w:rFonts w:ascii="Times New Roman"/>
          <w:b w:val="false"/>
          <w:i w:val="false"/>
          <w:color w:val="ff0000"/>
          <w:sz w:val="28"/>
        </w:rPr>
        <w:t>№ 266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 күннен кейін күнтізбелік он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кеден ісі туралы" Қазақстан Республикасының 2010 жылғы 30 маусымдағы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68-бабының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"Қазақстан Республикасындағы кеден ісі туралы" Қазақстан Республикасының Кодексінде көзделген құжаттар мен мәліметтерді ұсыну үшін декларанттар немесе кеден ісі саласындағы қызметті жүзеге асыратын тұлғалар пайдаланатын бағдарламалық өнімдерге қойылатын </w:t>
      </w:r>
      <w:r>
        <w:rPr>
          <w:rFonts w:ascii="Times New Roman"/>
          <w:b w:val="false"/>
          <w:i w:val="false"/>
          <w:color w:val="000000"/>
          <w:sz w:val="28"/>
        </w:rPr>
        <w:t>талаптар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 Мемлекеттік кірістер комитеті (Д.Е. Ерғожин) белгіленген тәртіпте мыналарды қамтамасыз етсін: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бұйрықты мемлекеттік тіркегеннен кейiн күнтiзбелiк он күн ішінде оны мерзімдік баспа басылымдарында және "Әділет" ақпараттық-құқықтық жүйесінде ресми жариялауға жолдауды;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 Қазақстан Республикасы Қаржы министрлігінің интернет-ресурсында орналастыруды.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 ресми жарияланған күннен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Сұлтанов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30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230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"Қазақстан Республикасындағы кеден ісі туралы" Қазақстан Республикасының Кодексінде көзделген құжаттар мен мәліметтерді ұсыну үшін декларанттар немесе кеден ісі саласындағы қызметті жүзеге асыратын тұлғалар пайдаланатын бағдарламалық өнімдерге қойылатын талаптар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кеден ісі туралы" Қазақстан Республикасының 2010 жылғы 30 маусымдағы </w:t>
      </w:r>
      <w:r>
        <w:rPr>
          <w:rFonts w:ascii="Times New Roman"/>
          <w:b w:val="false"/>
          <w:i w:val="false"/>
          <w:color w:val="000000"/>
          <w:sz w:val="28"/>
        </w:rPr>
        <w:t>Кодексінде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құжаттар мен мәліметтерді ұсыну үшін декларанттар немесе кеден ісі саласындағы қызметті жүзеге асыратын тұлғалар пайдаланатын бағдарламалық өнім: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Кеден одағының кеден заңнамасына сәйкес белгіленген кедендік құжаттарды толтырудың форматтық-логикалық бақылау қамтылады;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Кеден ісі саласындағы </w:t>
      </w:r>
      <w:r>
        <w:rPr>
          <w:rFonts w:ascii="Times New Roman"/>
          <w:b w:val="false"/>
          <w:i w:val="false"/>
          <w:color w:val="000000"/>
          <w:sz w:val="28"/>
        </w:rPr>
        <w:t>уәкілетті органның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интернет-ресурсында, веб-порталында орналастырылатын электрондық анықтамалардан және жіктеуіштерден жаңартылатын нормативтік-анықтамалық ақпарат қамтылады;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Кеден одағының кеден заңнамасына сәйкес белгіленген кедендік құжаттардың электрондық көшірмелерінің құрылымы мен форматы қамтылады;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Қазақстан </w:t>
      </w:r>
      <w:r>
        <w:rPr>
          <w:rFonts w:ascii="Times New Roman"/>
          <w:b w:val="false"/>
          <w:i w:val="false"/>
          <w:color w:val="000000"/>
          <w:sz w:val="28"/>
        </w:rPr>
        <w:t>Республикасының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қолданыстағы </w:t>
      </w:r>
      <w:r>
        <w:rPr>
          <w:rFonts w:ascii="Times New Roman"/>
          <w:b w:val="false"/>
          <w:i w:val="false"/>
          <w:color w:val="000000"/>
          <w:sz w:val="28"/>
        </w:rPr>
        <w:t>заңнамасына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ақпараттық қауіпсіздік талаптарына және Қазақстан Республикасының аумағында қабылданған стандарттарға сәйкес болады.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