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c7ca" w14:textId="c2cc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қағидасын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мәслихаттың 2014 жылғы 18 наурыздағы № 22-5 шешімі. Батыс Қазақстан облысы Әділет департаментінде 2014 жылғы 8 сәуірде № 3495 болып тіркелді. Күші жойылды - Батыс Қазақстан облысы Тасқала аудандық мәслихатының 2023 жылғы 26 қыркүйектегі № 10-2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26.09.2023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Тасқала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Жамансариев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наурыздағы № 22-5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жергiлiктi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және жергiлiктi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жиынына қатысу үшiн</w:t>
      </w:r>
      <w:r>
        <w:br/>
      </w:r>
      <w:r>
        <w:rPr>
          <w:rFonts w:ascii="Times New Roman"/>
          <w:b/>
          <w:i w:val="false"/>
          <w:color w:val="000000"/>
        </w:rPr>
        <w:t>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</w:t>
      </w:r>
      <w:r>
        <w:br/>
      </w:r>
      <w:r>
        <w:rPr>
          <w:rFonts w:ascii="Times New Roman"/>
          <w:b/>
          <w:i w:val="false"/>
          <w:color w:val="000000"/>
        </w:rPr>
        <w:t>айқындау тәртiбi туралы қағидасы</w:t>
      </w:r>
      <w:r>
        <w:br/>
      </w:r>
      <w:r>
        <w:rPr>
          <w:rFonts w:ascii="Times New Roman"/>
          <w:b/>
          <w:i w:val="false"/>
          <w:color w:val="000000"/>
        </w:rPr>
        <w:t>1. Жалпы ережелер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Тасқала ауданының аумағында бөлек жергiлiктi қоғамдастық жиындарын өткiзу және жергiлiктi қоғамдастық жиынына қатысу үшiн ауыл, көше, көппәтерлi тұрғын үй тұрғындары өкiлдерiнiң санын айқындау тәртiбi туралы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Тасқала ауданында бөлек жергiлiктi қоғамдастық жиындарын өткiзу және ауыл, көше, көппәтерлi тұрғын үй тұрғындары өкiлдерiнiң санын айқындау тәртiбiн белгiлейдi.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ауданының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өткiзу тәртiбi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Бөлек жиынды Тасқала ауданының ауылдық округтерінің әкiмдерi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ауданы әкiмiнiң жергiлiктi қоғамдастық жиынын өткiзуге оң шешiмi бар болған жағдайда бөлек жиынды өткiзуге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Ауыл, көше, көппәтерлі тұрғын үй шегiнде бөлек жиынды өткiзудi тиісті ауылдық округтiң әкiмi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Бөлек жиынды ашудың алдында ауылдың, көшенің, көппәтерлi тұрғын үйдiң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 мен жергілікті қоғамдастық жиналысына кәмелетке толмаған адамдардың, сот әрекетке қабілетсіз деп таныған адамдардың, сондай-ақ сот үкімімен бас бостандығынан айыру орындарындағы адамдардың қатысуға құқығы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Бөлек жиынды ауылдық округ әкiмi немесе ол уәкiлеттiк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әкiмi немесе ол уәкiлеттiк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Жергілікті қоғамдастық жиынына қатысу үшін ауыл, көше, көппәтерлі тұрғын үй тұрғындары өкілдерінің кандидатураларын осы қағидамен айқындалған сандық құрамға сәйкес бөлек жиынның қатысушылары ұсынады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Бөлек жиында хаттама жүргiзiледi, оған төраға мен хатшы қол қояды және оны ауылдық округ әкiмiнiң аппаратына бередi.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Жергiлiктi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үшiн ауыл, көше, көппәтерлi тұрғын үй</w:t>
      </w:r>
      <w:r>
        <w:br/>
      </w:r>
      <w:r>
        <w:rPr>
          <w:rFonts w:ascii="Times New Roman"/>
          <w:b/>
          <w:i w:val="false"/>
          <w:color w:val="000000"/>
        </w:rPr>
        <w:t>тұрғындары өкiлдерiнiң санын айқындау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Тасқала ауданының аумағында жергiлiктi қоғамдастық жиынына қатысу үшiн ауыл, көше, көппәтерлi тұрғын үй тұрғындары өкiлдерiнiң саны ауыл, көше, көппәтерлi тұрғын үй тұрғындарының бір пайызы (бір өкілден кем емес) негізінде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