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9158" w14:textId="fae9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ауданының аумағында бөлек жергiлiктi қоғамдастық жиындарын өткiзу және жергiлiктi қоғамдастық жиынына қатысу үшiн ауыл, көше, көппәтерлi тұрғын үй тұрғындары өкiлдерiнiң санын айқындау тәртiбi туралы қағидасын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мәслихаттың 2014 жылғы 13 наурыздағы № 16-3 шешімі. Батыс Қазақстан облысы Әділет департаментінде 2014 жылғы 2 сәуірде № 3479 болып тіркелді. Күші жойылды - Батыс Қазақстан облысы Жаңақала аудандық мәслихатының 2021 жылғы 24 желтоқсандағы № 14-11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14-11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18 қазандағы № 1106 "Бөлек жергiлiктi қоғамдастық жиындарын өткiзудiң үлгi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Жаңақала ауданының аумағында бөлек жергiлiктi қоғамдастық жиындарын өткiзу және жергiлiктi қоғамдастық жиынына қатысу үшiн ауыл, көше, көппәтерлi тұрғын үй тұрғындары өкiлдерiнiң санын айқындау тәртiбi туралы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бастап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Сисенғали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наурыздағы № 16-3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шешiмiмен бекiтiлген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жергiлiктi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өткiзу және жергiлiктi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үшiн</w:t>
      </w:r>
      <w:r>
        <w:br/>
      </w:r>
      <w:r>
        <w:rPr>
          <w:rFonts w:ascii="Times New Roman"/>
          <w:b/>
          <w:i w:val="false"/>
          <w:color w:val="000000"/>
        </w:rPr>
        <w:t>ауыл, көше, көппәтерлi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өкiлдерiнiң санын</w:t>
      </w:r>
      <w:r>
        <w:br/>
      </w:r>
      <w:r>
        <w:rPr>
          <w:rFonts w:ascii="Times New Roman"/>
          <w:b/>
          <w:i w:val="false"/>
          <w:color w:val="000000"/>
        </w:rPr>
        <w:t>айқындау тәртiбi туралы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Жаңақала  ауданының аумағында бөлек жергiлiктi қоғамдастықтың жиындарын өткiзу және жергiлiктi қоғамдастық жиынына қатысу үшiн ауыл, көше, көппәтерлi тұрғын үй тұрғындары өкiлдерiнiң санын айқындау тәртiбi туралы қағидасы (бұдан әрі - Қағида)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Жаңақала ауданының аумағындағы бөлек жергілікті қоғамдастық жиындарын өткізу және ауыл, көше, көппәтерлi тұрғын үй тұрғындары өкiлдерiнiң санын айқындау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Жаңақала ауданының аумағындағы ауылдың, көшенің, көппәтерлі тұрғын үй тұрғындарының бөлек жергiлiктi қоғамдастық жиындары (бұдан әрi - бөлек жиын), жергiлiктi қоғамдастықтың жиынына қатысу үшiн өкiлдердi сайлау мақсатында шақырылады және өткізіледі.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Жаңақала ауданының ауылдық округтерінің әкiмдерi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көппәтерлi тұрғын үй шегiнде бөлек жиынды өткiзудi ауылдық округтің әкiмi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тиiстi ауылдың, көшенің, көппәтерлi тұрғын үйдiң қатысып отырған және оған қатысуға құқығы бар тұрғындарын тiркеу жүргiзiледi.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әкiмi немесе ол уәкiлеттiк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әкiмi немесе ол уәкiлеттiк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рәсiмдеу үшiн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Жергiлiктi қоғамдастық жиынына қатысу үшiн ауыл, көше, көппәтерлi тұрғын үй тұрғындары өкiлдерiнің кандидатураларын осы қағидамен айқындалған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 жиынына қатысу үшін ауыл, көше, көппәтерлi тұрғын үй тұрғындары өкiлдерiнiң саны тең өкiлдiк ету қағидаты негiзiнде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жүргiзiледi, оған төраға мен хатшы қол қояды және ауылдық округ әкiмiнiң аппаратына бередi.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Жергiлiктi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үшiн ауыл, көше, көппәтерлi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өкiлдерiнiң санын айқындау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Жаңақала ауданының аумағында жергiлiктi қоғамдастық жиынына қатысу үшiн ауыл, көше, көппәтерлi тұрғын үй тұрғындары өкiлдерiнiң саны ауыл, көше, көппәтерлi тұрғын үй тұрғындарының бір пайызы (бір өкілден кем емес) негізінде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