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21ae" w14:textId="49a2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1 сәуірдегі № 43 "Асыл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 желтоқсандағы № 316 қаулысы. Батыс Қазақстан облысының Әділет департаментінде 2014 жылғы 9 желтоқсанда № 3706 болып тіркелді. Күші жойылды - Батыс Қазақстан облысы әкімдігінің 2015 жылғы 20 қаңтардағы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 жылғы 23 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«Асыл тұқымды мал шаруашылығын дамытуды, мал шаруашылығы өнiмiнiң өнiмдiлiгi мен сапасын арттыруды жергілікті бюджеттерден субсидиялау қағидаларын бекiту туралы» 2014 жылғы 18 ақпандағы № 103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 2014 жылғы 1 сәуірдегі № 43 «Асыл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туралы» (Нормативтік құқықтық актілерді мемлекеттік тіркеу тізілімінде № 3492 тіркелген, 2014 жылғы 10 сәуірдегі «Орал өңірі» және «Приуралье»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«Батыс Қазақстан облысының ауыл шаруашылығы басқармасы» мемлекеттік мекемесі (М. К. Оңғарбеков) осы қаулының әділет органдарында мемлекеттік тіркелуін, «Әділет» ақпараттық-құқықтық жүйесінде және бұқаралық-ақпарат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облыс әкімінің орынбасары А. К. Өтеғұловқа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__________А .С.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03.12.2014 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жылғы 2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316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3"/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"/>
        <w:gridCol w:w="3312"/>
        <w:gridCol w:w="447"/>
        <w:gridCol w:w="2506"/>
        <w:gridCol w:w="2164"/>
        <w:gridCol w:w="30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көлемі, бас, тонна, мың дана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  <w:bookmarkEnd w:id="6"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62 215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1 119 870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184 330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Америка Құрама Штаттарынан және Канададан)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селекциялық ірі қара мал (Ресейден, Белоруссиядан және Украинадан әкелінген асыл тұқымды малды қоса есептегенде)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мал азығы құнын арзандату: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230 943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414,9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91 271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139 672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өткізу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  <w:bookmarkEnd w:id="19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1 836 953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  <w:bookmarkEnd w:id="20"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(Ресейден, Белоруссиядан және Украинадан)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мал азығы құнын арзандату: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  <w:bookmarkEnd w:id="28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  <w:bookmarkEnd w:id="2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азық құнын арзандату: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69 350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  <w:bookmarkEnd w:id="32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3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арналған азық құнын арзандату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  <w:bookmarkEnd w:id="35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3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жұмыстарды жүргізу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34 171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19 998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тұқымдық аналық қой басы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14 173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1 240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  <w:bookmarkEnd w:id="41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4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үшін азық құнын арзандату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  <w:bookmarkEnd w:id="45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2 175 312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аббревиатураның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