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dbac" w14:textId="9e1d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13 мамырдағы № 111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28 қазандағы № 277 қаулысы. Батыс Қазақстан облысының Әділет департаментінде 2014 жылғы 17 қарашада № 3688 болып тіркелді. Күші жойылды - Батыс Қазақстан облысы әкімдігінің 2015 жылғы 7 шілдедегі № 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07.07.2015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«Мемлекеттік көрсетілетін қызметтер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 басшылыққа ала отырып және «Мемлекеттік көрсетілетін қызметтердің стандарттары мен регламенттерін әзірлеу жөніндегі қағиданы бекіту туралы» 2013 жылғы 14 тамыздағы № 249 Қазақстан Республикасы Экономика және бюджеттік жоспарлау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 2014 жылғы 13 мамырдағы № 111 «Мемлекеттік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көрсетілетін қызмет регламентін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3568 тіркелген, 2014 жылғы 10 шілдеде «Орал өңірі» және «Приуралье»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«Мемлекеттік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4-қосымшасына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«Мемлекеттік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облысының энергетика және тұрғын үй-коммуналдық шаруашылық басқармасы (Р. Қ. Өтешев) осы қаулының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Батыс Қазақстан облысы әкімінің орынбасары А. Б. Бадашевқа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қазандағы №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мемлекеттiк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қызмет көрсетудің бизнес-процестерінің анықтамалығы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106172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