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2aaa" w14:textId="3532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253 қаулысы. Қазақстан Республикасының Әділет министрлігінде 2015 жылы 12 ақпанда № 10237 тіркелді.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4360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активтерін сыртқы басқарушыларды таңдау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қоры (бұдан әрі - Қор) активтерінің бір бөлігін шетелдік банктердің және активтерді басқару жөніндегі мамандандырылған ұйымдардың сыртқы немесе сыртқы транзиттік басқаруына берудің жалпы тәртібі мен талаптарын реттейді.»;</w:t>
      </w:r>
      <w:r>
        <w:br/>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активтерді активтік басқару - кірістілік ауытқуы мәнінің (tracking error) пайыздық шегі 0.5 пайыздан (нөл бүтін оннан бес) асуына жол берілетін басқару түрі;»;</w:t>
      </w:r>
      <w:r>
        <w:br/>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уәкілетті бөлімше - Ұлттық Банктің Монетарлық операциялар және активтерді басқару департаменті.»;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 Сыртқы және сыртқы транзиттік басқарудың негізгі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Бір сыртқы басқарушыға сыртқы басқаруға берілетін Қордың жалпы рұқсат етілген көлемі Қордың жинақ портфелінің 10 пайызынан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«4. Шешім қабылдау және Қордың активтерін сыртқы немесе сыртқы транзиттік басқаруға беру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«Осы Ереженің 19-1 және 19-2-тармақтарында белгіленген критерийлерді қанағаттандырмайтын компания Ұлттық Банк Басқармасының шешімі бойынша сыртқы басқарушы ретінде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«19-1. Активтердің бір сыртқы басқарушыға берілетін активтерінің көлемі 300 (үш жүз) миллион АҚШ доллары баламасынан асатын мандаттар үшін міндетті критерийлер:</w:t>
      </w:r>
      <w:r>
        <w:br/>
      </w:r>
      <w:r>
        <w:rPr>
          <w:rFonts w:ascii="Times New Roman"/>
          <w:b w:val="false"/>
          <w:i w:val="false"/>
          <w:color w:val="000000"/>
          <w:sz w:val="28"/>
        </w:rPr>
        <w:t>
      1) Қордың активтерін инвестициялау болжанатын қаржы құралдарымен кемінде 10 (он) жыл жұмыс тәжірибесінің, оның кемінде 5 (бес) жылы мандаттың жарияланған түрі бойынша жұмыс тәжірибесінің болуы.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5 (бес) жыл жұмыс тәжірибесінің болуы;</w:t>
      </w:r>
      <w:r>
        <w:br/>
      </w:r>
      <w:r>
        <w:rPr>
          <w:rFonts w:ascii="Times New Roman"/>
          <w:b w:val="false"/>
          <w:i w:val="false"/>
          <w:color w:val="000000"/>
          <w:sz w:val="28"/>
        </w:rPr>
        <w:t>
      2) басқарудағы активтердің мөлшері: сыртқы басқарушының басқаруында клиенттердің кемінде 25 (жиырма бес) миллиард АҚШ доллары баламасындағы жиынтық активтерінің (оның ішінде консультациялық қызмет көрсетудегі) болуы;</w:t>
      </w:r>
      <w:r>
        <w:br/>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қарастырылып отырған мандат түрі бойынша клиенттердің жиынтық активтері 1 (бір) миллиард АҚШ доллары баламасынан кем болмайды.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1 (бір) миллиард АҚШ доллары баламасынан кем болмайды.</w:t>
      </w:r>
      <w:r>
        <w:br/>
      </w:r>
      <w:r>
        <w:rPr>
          <w:rFonts w:ascii="Times New Roman"/>
          <w:b w:val="false"/>
          <w:i w:val="false"/>
          <w:color w:val="000000"/>
          <w:sz w:val="28"/>
        </w:rPr>
        <w:t>
      19-2. Активтердің бір сыртқы басқарушыға берілетін активтерінің көлемі 300 (үш жүз) миллион АҚШ доллары баламасынан аспайтын мамандандырылған мандаттар үшін міндетті критерийлер:</w:t>
      </w:r>
      <w:r>
        <w:br/>
      </w:r>
      <w:r>
        <w:rPr>
          <w:rFonts w:ascii="Times New Roman"/>
          <w:b w:val="false"/>
          <w:i w:val="false"/>
          <w:color w:val="000000"/>
          <w:sz w:val="28"/>
        </w:rPr>
        <w:t>
      1) Қордың активтерін инвестициялау болжанатын қаржы құралдарымен кемінде 5 (бес) жыл жұмыс тәжірибесінің, оның кемінде 3 (үш) жылы мандаттың жарияланған түрі бойынша жұмыс тәжірибесінің болуы.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3 (үш) жыл жұмыс тәжірибесінің болуы;</w:t>
      </w:r>
      <w:r>
        <w:br/>
      </w:r>
      <w:r>
        <w:rPr>
          <w:rFonts w:ascii="Times New Roman"/>
          <w:b w:val="false"/>
          <w:i w:val="false"/>
          <w:color w:val="000000"/>
          <w:sz w:val="28"/>
        </w:rPr>
        <w:t>
      2) басқарудағы активтердің мөлшері: басқаруында клиенттердің  жиынтық активтерінің мөлшері кемінде 1 (бір) миллиард АҚШ доллары  болуы тиіс баламалы құралдар мандаттары бойынша сыртқы басқарушыларды қоспағанда, сыртқы басқарушының басқаруында баламасы 3(үш) миллиард АҚШ долларынан кем емес клиенттердің жиынтық активтері (оның ішінде консультациялық қызмет көрсетудегі) болады;</w:t>
      </w:r>
      <w:r>
        <w:br/>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мандаттың қарастырылып отырған түрі бойынша 150 (бір жүз елу) миллион АҚШ доллары баламасынан  кем емес клиенттердің жиынтық активтері болады.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150 (бір жүз елу) миллион АҚШ доллары баламасынан кем болмайды.</w:t>
      </w:r>
      <w:r>
        <w:br/>
      </w:r>
      <w:r>
        <w:rPr>
          <w:rFonts w:ascii="Times New Roman"/>
          <w:b w:val="false"/>
          <w:i w:val="false"/>
          <w:color w:val="000000"/>
          <w:sz w:val="28"/>
        </w:rPr>
        <w:t>
      Мамандандырылған мандат қолданыла бастағаннан кейін бір сыртқы басқарушыға оның басқару нәтижелері бойынша 300 (үш жүз) миллион АҚШ долларынан асатын, бірақ осы Ереженің 12-тармағында көрсетілген шектеуден аспайтын мөлшердегі активтер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Қажет болған кезде уәкілетті бөлімше сыртқы басқарушының басқару нәтижелері және сапасы туралы сұрату жасай отырып, оның клиенттеріне өтініш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«5. Активтерді сыртқы басқаруға беру туралы келісімнің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Активтерді сыртқы басқаруға беру кезінде активтерді бір түрден басқасына аудару бойынша өтпелі кезең (transition period) ескеріледі. Өтпелі кезеңнің ұзақтығы 15 (он бес) жұмыс күнінен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Активтерді сыртқы басқаруға беру туралы келісімнің талаптары және шектеулер Ұлттық Банктің Қордың инвестициялық операцияларын жүзеге асыру шеңберінде белгіленген талаптары мен шектеулеріне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«6. Сыртқы басқару нәтижелері және мониторинг».</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____________ (___________)</w:t>
      </w:r>
      <w:r>
        <w:br/>
      </w:r>
      <w:r>
        <w:rPr>
          <w:rFonts w:ascii="Times New Roman"/>
          <w:b w:val="false"/>
          <w:i w:val="false"/>
          <w:color w:val="000000"/>
          <w:sz w:val="28"/>
        </w:rPr>
        <w:t>
</w:t>
      </w:r>
      <w:r>
        <w:rPr>
          <w:rFonts w:ascii="Times New Roman"/>
          <w:b w:val="false"/>
          <w:i/>
          <w:color w:val="000000"/>
          <w:sz w:val="28"/>
        </w:rPr>
        <w:t>      2015 жылы 13 қаңтардағы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