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51d6" w14:textId="3b05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 жүйе құраушылар қатарына жатқызу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24 желтоқсандағы № 257 қаулысы. Қазақстан Республикасының Әділет министрлігінде 2015 жылы 10 ақпанда № 10210 тіркелді. Күші жойылды - Қазақстан Республикасы Ұлттық Банкі Басқармасының 2019 жылғы 23 желтоқсандағы № 240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23.12.2019 </w:t>
      </w:r>
      <w:r>
        <w:rPr>
          <w:rFonts w:ascii="Times New Roman"/>
          <w:b w:val="false"/>
          <w:i w:val="false"/>
          <w:color w:val="ff0000"/>
          <w:sz w:val="28"/>
        </w:rPr>
        <w:t>№ 240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w:t>
      </w:r>
    </w:p>
    <w:bookmarkEnd w:id="0"/>
    <w:p>
      <w:pPr>
        <w:spacing w:after="0"/>
        <w:ind w:left="0"/>
        <w:jc w:val="both"/>
      </w:pPr>
      <w:r>
        <w:rPr>
          <w:rFonts w:ascii="Times New Roman"/>
          <w:b w:val="false"/>
          <w:i w:val="false"/>
          <w:color w:val="000000"/>
          <w:sz w:val="28"/>
        </w:rPr>
        <w:t xml:space="preserve">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Осы қаулының қосымшасына сәйкес Қаржы ұйымдарын жүйе құраушылар қатарына жатқызу қағидалары бекітілсін.</w:t>
      </w:r>
    </w:p>
    <w:bookmarkEnd w:id="1"/>
    <w:bookmarkStart w:name="z3" w:id="2"/>
    <w:p>
      <w:pPr>
        <w:spacing w:after="0"/>
        <w:ind w:left="0"/>
        <w:jc w:val="both"/>
      </w:pPr>
      <w:r>
        <w:rPr>
          <w:rFonts w:ascii="Times New Roman"/>
          <w:b w:val="false"/>
          <w:i w:val="false"/>
          <w:color w:val="000000"/>
          <w:sz w:val="28"/>
        </w:rPr>
        <w:t>
      2. Осы қаулы 2015 жылғы 1 шілдеден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257 қаулысымен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Қаржы ұйымдарын жүйе құраушылар қатарына жатқызу</w:t>
      </w:r>
      <w:r>
        <w:br/>
      </w:r>
      <w:r>
        <w:rPr>
          <w:rFonts w:ascii="Times New Roman"/>
          <w:b/>
          <w:i w:val="false"/>
          <w:color w:val="000000"/>
        </w:rPr>
        <w:t>қағидалары</w:t>
      </w:r>
    </w:p>
    <w:bookmarkEnd w:id="3"/>
    <w:bookmarkStart w:name="z6" w:id="4"/>
    <w:p>
      <w:pPr>
        <w:spacing w:after="0"/>
        <w:ind w:left="0"/>
        <w:jc w:val="both"/>
      </w:pPr>
      <w:r>
        <w:rPr>
          <w:rFonts w:ascii="Times New Roman"/>
          <w:b w:val="false"/>
          <w:i w:val="false"/>
          <w:color w:val="000000"/>
          <w:sz w:val="28"/>
        </w:rPr>
        <w:t>
      1. Осы Қаржы ұйымдарын жүйе құраушылар қатарына жатқызу қағидалары (бұдан әрі – Қағидалар) макропруденциялық реттеуді жүзеге асыру шегінде қаржы ұйымдарын жүйе құраушылар қатарына жатқызу тәртібін айқындайды.</w:t>
      </w:r>
    </w:p>
    <w:bookmarkEnd w:id="4"/>
    <w:bookmarkStart w:name="z7" w:id="5"/>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5"/>
    <w:bookmarkStart w:name="z8" w:id="6"/>
    <w:p>
      <w:pPr>
        <w:spacing w:after="0"/>
        <w:ind w:left="0"/>
        <w:jc w:val="both"/>
      </w:pPr>
      <w:r>
        <w:rPr>
          <w:rFonts w:ascii="Times New Roman"/>
          <w:b w:val="false"/>
          <w:i w:val="false"/>
          <w:color w:val="000000"/>
          <w:sz w:val="28"/>
        </w:rPr>
        <w:t>
      1) жүйе құраушы банк – тұрақты жұмыс істеуіне елдің тұтастай қаржы жүйесінің немесе оның жекелеген сегменттерінің тұрақтылығы байланысты болатын банк;</w:t>
      </w:r>
    </w:p>
    <w:bookmarkEnd w:id="6"/>
    <w:bookmarkStart w:name="z9" w:id="7"/>
    <w:p>
      <w:pPr>
        <w:spacing w:after="0"/>
        <w:ind w:left="0"/>
        <w:jc w:val="both"/>
      </w:pPr>
      <w:r>
        <w:rPr>
          <w:rFonts w:ascii="Times New Roman"/>
          <w:b w:val="false"/>
          <w:i w:val="false"/>
          <w:color w:val="000000"/>
          <w:sz w:val="28"/>
        </w:rPr>
        <w:t>
      2) жүйе құраушы инфрақұрылымдық қаржы ұйымы – тұрақты жұмыс істеуіне бағалы қағаздар нарығының тұрақтылығы байланысты болатын бағалы қағаздар нарығының кәсіби қатысушысы;</w:t>
      </w:r>
    </w:p>
    <w:bookmarkEnd w:id="7"/>
    <w:bookmarkStart w:name="z10" w:id="8"/>
    <w:p>
      <w:pPr>
        <w:spacing w:after="0"/>
        <w:ind w:left="0"/>
        <w:jc w:val="both"/>
      </w:pPr>
      <w:r>
        <w:rPr>
          <w:rFonts w:ascii="Times New Roman"/>
          <w:b w:val="false"/>
          <w:i w:val="false"/>
          <w:color w:val="000000"/>
          <w:sz w:val="28"/>
        </w:rPr>
        <w:t>
      3) инфрақұрылымдық қаржы ұйымы – бағалы қағаздар нарығында кәсіби қызметтердің мына түрлерінің бірін:</w:t>
      </w:r>
    </w:p>
    <w:bookmarkEnd w:id="8"/>
    <w:p>
      <w:pPr>
        <w:spacing w:after="0"/>
        <w:ind w:left="0"/>
        <w:jc w:val="both"/>
      </w:pPr>
      <w:r>
        <w:rPr>
          <w:rFonts w:ascii="Times New Roman"/>
          <w:b w:val="false"/>
          <w:i w:val="false"/>
          <w:color w:val="000000"/>
          <w:sz w:val="28"/>
        </w:rPr>
        <w:t xml:space="preserve">
      бағалы қағаздармен және басқа өзге де қаржы құралдарымен </w:t>
      </w:r>
      <w:r>
        <w:rPr>
          <w:rFonts w:ascii="Times New Roman"/>
          <w:b w:val="false"/>
          <w:i w:val="false"/>
          <w:color w:val="000000"/>
          <w:sz w:val="28"/>
        </w:rPr>
        <w:t>сауда-саттықты ұйымдастыруды</w:t>
      </w:r>
      <w:r>
        <w:rPr>
          <w:rFonts w:ascii="Times New Roman"/>
          <w:b w:val="false"/>
          <w:i w:val="false"/>
          <w:color w:val="000000"/>
          <w:sz w:val="28"/>
        </w:rPr>
        <w:t>;</w:t>
      </w:r>
    </w:p>
    <w:p>
      <w:pPr>
        <w:spacing w:after="0"/>
        <w:ind w:left="0"/>
        <w:jc w:val="both"/>
      </w:pPr>
      <w:r>
        <w:rPr>
          <w:rFonts w:ascii="Times New Roman"/>
          <w:b w:val="false"/>
          <w:i w:val="false"/>
          <w:color w:val="000000"/>
          <w:sz w:val="28"/>
        </w:rPr>
        <w:t>
      депозитарлық қызметті;</w:t>
      </w:r>
    </w:p>
    <w:p>
      <w:pPr>
        <w:spacing w:after="0"/>
        <w:ind w:left="0"/>
        <w:jc w:val="both"/>
      </w:pPr>
      <w:r>
        <w:rPr>
          <w:rFonts w:ascii="Times New Roman"/>
          <w:b w:val="false"/>
          <w:i w:val="false"/>
          <w:color w:val="000000"/>
          <w:sz w:val="28"/>
        </w:rPr>
        <w:t xml:space="preserve">
      қаржы құралдарымен мәмілелер бойынша клиринг қызметін; </w:t>
      </w:r>
    </w:p>
    <w:p>
      <w:pPr>
        <w:spacing w:after="0"/>
        <w:ind w:left="0"/>
        <w:jc w:val="both"/>
      </w:pPr>
      <w:r>
        <w:rPr>
          <w:rFonts w:ascii="Times New Roman"/>
          <w:b w:val="false"/>
          <w:i w:val="false"/>
          <w:color w:val="000000"/>
          <w:sz w:val="28"/>
        </w:rPr>
        <w:t>
      бағалы қағаздарды ұстаушылар тiзiлiмдерiнің жүйесiн жүргізу жөніндегі қызметті жүзеге асыратын ұйым.</w:t>
      </w:r>
    </w:p>
    <w:bookmarkStart w:name="z11" w:id="9"/>
    <w:p>
      <w:pPr>
        <w:spacing w:after="0"/>
        <w:ind w:left="0"/>
        <w:jc w:val="both"/>
      </w:pPr>
      <w:r>
        <w:rPr>
          <w:rFonts w:ascii="Times New Roman"/>
          <w:b w:val="false"/>
          <w:i w:val="false"/>
          <w:color w:val="000000"/>
          <w:sz w:val="28"/>
        </w:rPr>
        <w:t>
      3. Қаржы жүйесінің жүйелік тәуекелдерінің деңгейін төмендету және олардың басталуын алдын алу қаржы ұйымдарын жүйе құраушылар қатарына жатқызу критерийлерін белгілеудің мақсаты болып табылады.</w:t>
      </w:r>
    </w:p>
    <w:bookmarkEnd w:id="9"/>
    <w:p>
      <w:pPr>
        <w:spacing w:after="0"/>
        <w:ind w:left="0"/>
        <w:jc w:val="both"/>
      </w:pPr>
      <w:r>
        <w:rPr>
          <w:rFonts w:ascii="Times New Roman"/>
          <w:b w:val="false"/>
          <w:i w:val="false"/>
          <w:color w:val="000000"/>
          <w:sz w:val="28"/>
        </w:rPr>
        <w:t>
      Қағидаларда бекітілген критерийлерге сәйкес келетін екінші деңгейдегі банктер (бұдан әрі - банктер) және инфрақұрылымдық қаржы ұйымдары жүйе құраушылардың қатарына жатқызылған қаржы ұйымдары болып танылады.</w:t>
      </w:r>
    </w:p>
    <w:bookmarkStart w:name="z12" w:id="10"/>
    <w:p>
      <w:pPr>
        <w:spacing w:after="0"/>
        <w:ind w:left="0"/>
        <w:jc w:val="both"/>
      </w:pPr>
      <w:r>
        <w:rPr>
          <w:rFonts w:ascii="Times New Roman"/>
          <w:b w:val="false"/>
          <w:i w:val="false"/>
          <w:color w:val="000000"/>
          <w:sz w:val="28"/>
        </w:rPr>
        <w:t>
      4. Банкті жүйе құраушы банк қатарына жатқызу үшін мына критерийлер қолданылады:</w:t>
      </w:r>
    </w:p>
    <w:bookmarkEnd w:id="10"/>
    <w:bookmarkStart w:name="z13" w:id="11"/>
    <w:p>
      <w:pPr>
        <w:spacing w:after="0"/>
        <w:ind w:left="0"/>
        <w:jc w:val="both"/>
      </w:pPr>
      <w:r>
        <w:rPr>
          <w:rFonts w:ascii="Times New Roman"/>
          <w:b w:val="false"/>
          <w:i w:val="false"/>
          <w:color w:val="000000"/>
          <w:sz w:val="28"/>
        </w:rPr>
        <w:t>
      1) банктің мөлшері;</w:t>
      </w:r>
    </w:p>
    <w:bookmarkEnd w:id="11"/>
    <w:bookmarkStart w:name="z14" w:id="12"/>
    <w:p>
      <w:pPr>
        <w:spacing w:after="0"/>
        <w:ind w:left="0"/>
        <w:jc w:val="both"/>
      </w:pPr>
      <w:r>
        <w:rPr>
          <w:rFonts w:ascii="Times New Roman"/>
          <w:b w:val="false"/>
          <w:i w:val="false"/>
          <w:color w:val="000000"/>
          <w:sz w:val="28"/>
        </w:rPr>
        <w:t>
      2) банктің қаржы нарығының қатысушыларымен өзара байланысы;</w:t>
      </w:r>
    </w:p>
    <w:bookmarkEnd w:id="12"/>
    <w:bookmarkStart w:name="z15" w:id="13"/>
    <w:p>
      <w:pPr>
        <w:spacing w:after="0"/>
        <w:ind w:left="0"/>
        <w:jc w:val="both"/>
      </w:pPr>
      <w:r>
        <w:rPr>
          <w:rFonts w:ascii="Times New Roman"/>
          <w:b w:val="false"/>
          <w:i w:val="false"/>
          <w:color w:val="000000"/>
          <w:sz w:val="28"/>
        </w:rPr>
        <w:t>
      3) банктің өзара алмасуы;</w:t>
      </w:r>
    </w:p>
    <w:bookmarkEnd w:id="13"/>
    <w:bookmarkStart w:name="z16" w:id="14"/>
    <w:p>
      <w:pPr>
        <w:spacing w:after="0"/>
        <w:ind w:left="0"/>
        <w:jc w:val="both"/>
      </w:pPr>
      <w:r>
        <w:rPr>
          <w:rFonts w:ascii="Times New Roman"/>
          <w:b w:val="false"/>
          <w:i w:val="false"/>
          <w:color w:val="000000"/>
          <w:sz w:val="28"/>
        </w:rPr>
        <w:t>
      4) банк жүргізетін операциялардың кешенділігі (күрделілігі).</w:t>
      </w:r>
    </w:p>
    <w:bookmarkEnd w:id="14"/>
    <w:bookmarkStart w:name="z17" w:id="15"/>
    <w:p>
      <w:pPr>
        <w:spacing w:after="0"/>
        <w:ind w:left="0"/>
        <w:jc w:val="both"/>
      </w:pPr>
      <w:r>
        <w:rPr>
          <w:rFonts w:ascii="Times New Roman"/>
          <w:b w:val="false"/>
          <w:i w:val="false"/>
          <w:color w:val="000000"/>
          <w:sz w:val="28"/>
        </w:rPr>
        <w:t>
      5. Мыналар:</w:t>
      </w:r>
    </w:p>
    <w:bookmarkEnd w:id="15"/>
    <w:bookmarkStart w:name="z18" w:id="16"/>
    <w:p>
      <w:pPr>
        <w:spacing w:after="0"/>
        <w:ind w:left="0"/>
        <w:jc w:val="both"/>
      </w:pPr>
      <w:r>
        <w:rPr>
          <w:rFonts w:ascii="Times New Roman"/>
          <w:b w:val="false"/>
          <w:i w:val="false"/>
          <w:color w:val="000000"/>
          <w:sz w:val="28"/>
        </w:rPr>
        <w:t>
      1) банк активтерінің банктердің жиынтық активтеріндегі үлесі (К</w:t>
      </w:r>
      <w:r>
        <w:rPr>
          <w:rFonts w:ascii="Times New Roman"/>
          <w:b w:val="false"/>
          <w:i w:val="false"/>
          <w:color w:val="000000"/>
          <w:vertAlign w:val="subscript"/>
        </w:rPr>
        <w:t>1</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2) банк міндеттемелерінің банктердің жиынтық міндеттемелеріндегі үлесі (К</w:t>
      </w:r>
      <w:r>
        <w:rPr>
          <w:rFonts w:ascii="Times New Roman"/>
          <w:b w:val="false"/>
          <w:i w:val="false"/>
          <w:color w:val="000000"/>
          <w:vertAlign w:val="subscript"/>
        </w:rPr>
        <w:t>2</w:t>
      </w:r>
      <w:r>
        <w:rPr>
          <w:rFonts w:ascii="Times New Roman"/>
          <w:b w:val="false"/>
          <w:i w:val="false"/>
          <w:color w:val="000000"/>
          <w:sz w:val="28"/>
        </w:rPr>
        <w:t>) банктің мөлшерін сипаттайтын көрсеткіштер болып табылады.</w:t>
      </w:r>
    </w:p>
    <w:bookmarkEnd w:id="17"/>
    <w:bookmarkStart w:name="z20" w:id="18"/>
    <w:p>
      <w:pPr>
        <w:spacing w:after="0"/>
        <w:ind w:left="0"/>
        <w:jc w:val="both"/>
      </w:pPr>
      <w:r>
        <w:rPr>
          <w:rFonts w:ascii="Times New Roman"/>
          <w:b w:val="false"/>
          <w:i w:val="false"/>
          <w:color w:val="000000"/>
          <w:sz w:val="28"/>
        </w:rPr>
        <w:t>
      6. Мыналар:</w:t>
      </w:r>
    </w:p>
    <w:bookmarkEnd w:id="18"/>
    <w:bookmarkStart w:name="z21" w:id="19"/>
    <w:p>
      <w:pPr>
        <w:spacing w:after="0"/>
        <w:ind w:left="0"/>
        <w:jc w:val="both"/>
      </w:pPr>
      <w:r>
        <w:rPr>
          <w:rFonts w:ascii="Times New Roman"/>
          <w:b w:val="false"/>
          <w:i w:val="false"/>
          <w:color w:val="000000"/>
          <w:sz w:val="28"/>
        </w:rPr>
        <w:t>
      1) банктің банктерге қатысты банкаралық активтері, шартты талаптары (бұдан әрі – банкаралық активтер) және банктің еншілес ұйымдарына инвестициялары сомасының банктердің банкаралық активтерінің және еншілес ұйымдарға инвестицияларының жиынтық көлеміндегі үлесі (К</w:t>
      </w:r>
      <w:r>
        <w:rPr>
          <w:rFonts w:ascii="Times New Roman"/>
          <w:b w:val="false"/>
          <w:i w:val="false"/>
          <w:color w:val="000000"/>
          <w:vertAlign w:val="subscript"/>
        </w:rPr>
        <w:t>3</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2) банктің банктер алдындағы банкаралық міндеттемелері, шартты міндеттемелері (бұдан әрі – банкаралық міндеттемелер) және "Бірыңғай жинақтаушы зейнетақы қоры" акционерлік қоғамының банкке салымдарға және банк шығарған бағалы қағаздарға инвестицияланған зейнетақы ативтері сомасының банктердің банкаралық міндеттемелерінің және "Бірыңғай жинақтаушы зейнетақы қоры" акционерлік қоғамының банктерге салымдарға және банктер шығарған бағалы қағаздарға инвестицияланған зейнетақы ативтерінің жиынтық көлеміндегі үлесі (К</w:t>
      </w:r>
      <w:r>
        <w:rPr>
          <w:rFonts w:ascii="Times New Roman"/>
          <w:b w:val="false"/>
          <w:i w:val="false"/>
          <w:color w:val="000000"/>
          <w:vertAlign w:val="subscript"/>
        </w:rPr>
        <w:t>4</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3) жеке тұлғалардың банкте орналастырылған "Қазақстанның депозиттерге кепілдік беру қоры" акционерлік қоғамы (бұдан әрі – Қор) кепiлдiк беруі тиісті салымдары сомасының жеке тұлғалардың банктерде орналастырылған Қор кепiлдiк беруі тиісті салымдарының жиынтық көлеміндегі үлесі (К</w:t>
      </w:r>
      <w:r>
        <w:rPr>
          <w:rFonts w:ascii="Times New Roman"/>
          <w:b w:val="false"/>
          <w:i w:val="false"/>
          <w:color w:val="000000"/>
          <w:vertAlign w:val="subscript"/>
        </w:rPr>
        <w:t>5</w:t>
      </w:r>
      <w:r>
        <w:rPr>
          <w:rFonts w:ascii="Times New Roman"/>
          <w:b w:val="false"/>
          <w:i w:val="false"/>
          <w:color w:val="000000"/>
          <w:sz w:val="28"/>
        </w:rPr>
        <w:t>) банктің қаржы нарығының қатысушыларымен өзара байланысын сипаттайтын көрсеткіштер болып табылады.</w:t>
      </w:r>
    </w:p>
    <w:bookmarkEnd w:id="21"/>
    <w:bookmarkStart w:name="z24" w:id="22"/>
    <w:p>
      <w:pPr>
        <w:spacing w:after="0"/>
        <w:ind w:left="0"/>
        <w:jc w:val="both"/>
      </w:pPr>
      <w:r>
        <w:rPr>
          <w:rFonts w:ascii="Times New Roman"/>
          <w:b w:val="false"/>
          <w:i w:val="false"/>
          <w:color w:val="000000"/>
          <w:sz w:val="28"/>
        </w:rPr>
        <w:t>
      7. Мыналар:</w:t>
      </w:r>
    </w:p>
    <w:bookmarkEnd w:id="22"/>
    <w:bookmarkStart w:name="z25" w:id="23"/>
    <w:p>
      <w:pPr>
        <w:spacing w:after="0"/>
        <w:ind w:left="0"/>
        <w:jc w:val="both"/>
      </w:pPr>
      <w:r>
        <w:rPr>
          <w:rFonts w:ascii="Times New Roman"/>
          <w:b w:val="false"/>
          <w:i w:val="false"/>
          <w:color w:val="000000"/>
          <w:sz w:val="28"/>
        </w:rPr>
        <w:t>
      1) банктің банкаралық ақша аудару жүйесі, банкаралық клиринг жүйесі арқылы жүргізген төлемдерінің, электрондық банктік қызметтер нарығындағы (банк желісінде) төлемдерінің, банк пен оның қарсы агенттері арасында ашылған корреспонденттік шоттар, халықаралық ақша аударымы жүйесі арқылы жүргізілген төлемдері мен аударымдары (бұдан әрі – қолма-қол ақшасыз төлемдер) жалпы сомасының банктердің қолма-қол ақшасыз төлемдерінің жиынтық көлеміндегі үлесі (К</w:t>
      </w:r>
      <w:r>
        <w:rPr>
          <w:rFonts w:ascii="Times New Roman"/>
          <w:b w:val="false"/>
          <w:i w:val="false"/>
          <w:color w:val="000000"/>
          <w:vertAlign w:val="subscript"/>
        </w:rPr>
        <w:t>6</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2) банктің несие портфелінің банктердің жиынтық несие портфеліндегі үлесі (К</w:t>
      </w:r>
      <w:r>
        <w:rPr>
          <w:rFonts w:ascii="Times New Roman"/>
          <w:b w:val="false"/>
          <w:i w:val="false"/>
          <w:color w:val="000000"/>
          <w:vertAlign w:val="subscript"/>
        </w:rPr>
        <w:t>7</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3) банктің кастодиандық қызметті көрсетуге қабылдаған активтерінің банктердің кастодиандық қызметті көрсетуге қабылдаған активтерінің жиынтық көлеміндегі үлесі (К</w:t>
      </w:r>
      <w:r>
        <w:rPr>
          <w:rFonts w:ascii="Times New Roman"/>
          <w:b w:val="false"/>
          <w:i w:val="false"/>
          <w:color w:val="000000"/>
          <w:vertAlign w:val="subscript"/>
        </w:rPr>
        <w:t>8</w:t>
      </w:r>
      <w:r>
        <w:rPr>
          <w:rFonts w:ascii="Times New Roman"/>
          <w:b w:val="false"/>
          <w:i w:val="false"/>
          <w:color w:val="000000"/>
          <w:sz w:val="28"/>
        </w:rPr>
        <w:t>) банктің өзара алмасуын сипаттайтын көрсеткіштер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Банкі Басқармасының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8. Мыналар:</w:t>
      </w:r>
    </w:p>
    <w:bookmarkEnd w:id="26"/>
    <w:bookmarkStart w:name="z29" w:id="27"/>
    <w:p>
      <w:pPr>
        <w:spacing w:after="0"/>
        <w:ind w:left="0"/>
        <w:jc w:val="both"/>
      </w:pPr>
      <w:r>
        <w:rPr>
          <w:rFonts w:ascii="Times New Roman"/>
          <w:b w:val="false"/>
          <w:i w:val="false"/>
          <w:color w:val="000000"/>
          <w:sz w:val="28"/>
        </w:rPr>
        <w:t>
      1) банктің туынды қаржы құралдары мен шетел валютасы бойынша шартты талаптары сомаларының банктердің туынды қаржы құралдары мен шетел валютасы бойынша шартты талаптарының жиынтық көлеміндегі үлесі (К</w:t>
      </w:r>
      <w:r>
        <w:rPr>
          <w:rFonts w:ascii="Times New Roman"/>
          <w:b w:val="false"/>
          <w:i w:val="false"/>
          <w:color w:val="000000"/>
          <w:vertAlign w:val="subscript"/>
        </w:rPr>
        <w:t>9</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2) банктің туынды қаржы құралдары мен шетел валютасы бойынша шартты міндеттемелері сомаларының банктердің туынды қаржы құралдары мен шетел валютасы бойынша шартты міндеттемелерінің жиынтық көлеміндегі үлесі (К</w:t>
      </w:r>
      <w:r>
        <w:rPr>
          <w:rFonts w:ascii="Times New Roman"/>
          <w:b w:val="false"/>
          <w:i w:val="false"/>
          <w:color w:val="000000"/>
          <w:vertAlign w:val="subscript"/>
        </w:rPr>
        <w:t>10</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3) банктің әділ құны бойынша пайда немесе шығын арқылы есепке алынатын бағалы қағаздарының және банкте сату үшін бар бағалы қағаздарының жалпы сомаларының банктердің әділ құны бойынша пайда немесе шығын арқылы есепке алынатын бағалы қағаздарының және сату үшін банктерде бар бағалы қағаздарының жиынтық көлеміндегі үлесі (К</w:t>
      </w:r>
      <w:r>
        <w:rPr>
          <w:rFonts w:ascii="Times New Roman"/>
          <w:b w:val="false"/>
          <w:i w:val="false"/>
          <w:color w:val="000000"/>
          <w:vertAlign w:val="subscript"/>
        </w:rPr>
        <w:t>11</w:t>
      </w:r>
      <w:r>
        <w:rPr>
          <w:rFonts w:ascii="Times New Roman"/>
          <w:b w:val="false"/>
          <w:i w:val="false"/>
          <w:color w:val="000000"/>
          <w:sz w:val="28"/>
        </w:rPr>
        <w:t>) банк жүргізетін операциялардың кешенділігін (күрделілігін) сипаттайтын көрсеткіштер болып табылады.</w:t>
      </w:r>
    </w:p>
    <w:bookmarkEnd w:id="29"/>
    <w:bookmarkStart w:name="z32" w:id="30"/>
    <w:p>
      <w:pPr>
        <w:spacing w:after="0"/>
        <w:ind w:left="0"/>
        <w:jc w:val="both"/>
      </w:pPr>
      <w:r>
        <w:rPr>
          <w:rFonts w:ascii="Times New Roman"/>
          <w:b w:val="false"/>
          <w:i w:val="false"/>
          <w:color w:val="000000"/>
          <w:sz w:val="28"/>
        </w:rPr>
        <w:t xml:space="preserve">
      9. Қағидалардың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көрсеткішті қоспағанда,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көрсеткіштерді есептеу тоқсанның бірінші күніндегі жағдай бойынша жүзеге асырылады.</w:t>
      </w:r>
    </w:p>
    <w:bookmarkEnd w:id="30"/>
    <w:p>
      <w:pPr>
        <w:spacing w:after="0"/>
        <w:ind w:left="0"/>
        <w:jc w:val="both"/>
      </w:pPr>
      <w:r>
        <w:rPr>
          <w:rFonts w:ascii="Times New Roman"/>
          <w:b w:val="false"/>
          <w:i w:val="false"/>
          <w:color w:val="000000"/>
          <w:sz w:val="28"/>
        </w:rPr>
        <w:t xml:space="preserve">
      Қағидалардың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критерийлерді есептеу тоқсан үшін жүзеге асырылады.</w:t>
      </w:r>
    </w:p>
    <w:p>
      <w:pPr>
        <w:spacing w:after="0"/>
        <w:ind w:left="0"/>
        <w:jc w:val="both"/>
      </w:pPr>
      <w:r>
        <w:rPr>
          <w:rFonts w:ascii="Times New Roman"/>
          <w:b w:val="false"/>
          <w:i w:val="false"/>
          <w:color w:val="000000"/>
          <w:sz w:val="28"/>
        </w:rPr>
        <w:t>
      Есептеу күнінің алдындағы қатарынан төрт тоқсан көрсеткіштердің орташа мәнін есептеу кезеңіне кіреді.</w:t>
      </w:r>
    </w:p>
    <w:bookmarkStart w:name="z33" w:id="31"/>
    <w:p>
      <w:pPr>
        <w:spacing w:after="0"/>
        <w:ind w:left="0"/>
        <w:jc w:val="both"/>
      </w:pPr>
      <w:r>
        <w:rPr>
          <w:rFonts w:ascii="Times New Roman"/>
          <w:b w:val="false"/>
          <w:i w:val="false"/>
          <w:color w:val="000000"/>
          <w:sz w:val="28"/>
        </w:rPr>
        <w:t>
      10. Банктің жалпылама көрсеткіші (ЖК) мына формула бойынша есептеледі:</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ЖК – банктің жалпылама көрсеткіші;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ij</w:t>
      </w:r>
      <w:r>
        <w:rPr>
          <w:rFonts w:ascii="Times New Roman"/>
          <w:b w:val="false"/>
          <w:i w:val="false"/>
          <w:color w:val="000000"/>
          <w:sz w:val="28"/>
        </w:rPr>
        <w:t xml:space="preserve"> – j-көрсеткішінің (К</w:t>
      </w:r>
      <w:r>
        <w:rPr>
          <w:rFonts w:ascii="Times New Roman"/>
          <w:b w:val="false"/>
          <w:i w:val="false"/>
          <w:color w:val="000000"/>
          <w:vertAlign w:val="subscript"/>
        </w:rPr>
        <w:t>1</w:t>
      </w:r>
      <w:r>
        <w:rPr>
          <w:rFonts w:ascii="Times New Roman"/>
          <w:b w:val="false"/>
          <w:i w:val="false"/>
          <w:color w:val="000000"/>
          <w:sz w:val="28"/>
        </w:rPr>
        <w:t>-К</w:t>
      </w:r>
      <w:r>
        <w:rPr>
          <w:rFonts w:ascii="Times New Roman"/>
          <w:b w:val="false"/>
          <w:i w:val="false"/>
          <w:color w:val="000000"/>
          <w:vertAlign w:val="subscript"/>
        </w:rPr>
        <w:t>11</w:t>
      </w:r>
      <w:r>
        <w:rPr>
          <w:rFonts w:ascii="Times New Roman"/>
          <w:b w:val="false"/>
          <w:i w:val="false"/>
          <w:color w:val="000000"/>
          <w:sz w:val="28"/>
        </w:rPr>
        <w:t>) i-тоқсаны үшін пайыздық мәні;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кj</w:t>
      </w:r>
      <w:r>
        <w:rPr>
          <w:rFonts w:ascii="Times New Roman"/>
          <w:b w:val="false"/>
          <w:i w:val="false"/>
          <w:color w:val="000000"/>
          <w:sz w:val="28"/>
        </w:rPr>
        <w:t xml:space="preserve"> – j-көрсеткішінің (К</w:t>
      </w:r>
      <w:r>
        <w:rPr>
          <w:rFonts w:ascii="Times New Roman"/>
          <w:b w:val="false"/>
          <w:i w:val="false"/>
          <w:color w:val="000000"/>
          <w:vertAlign w:val="subscript"/>
        </w:rPr>
        <w:t>1</w:t>
      </w:r>
      <w:r>
        <w:rPr>
          <w:rFonts w:ascii="Times New Roman"/>
          <w:b w:val="false"/>
          <w:i w:val="false"/>
          <w:color w:val="000000"/>
          <w:sz w:val="28"/>
        </w:rPr>
        <w:t>-К</w:t>
      </w:r>
      <w:r>
        <w:rPr>
          <w:rFonts w:ascii="Times New Roman"/>
          <w:b w:val="false"/>
          <w:i w:val="false"/>
          <w:color w:val="000000"/>
          <w:vertAlign w:val="subscript"/>
        </w:rPr>
        <w:t>11</w:t>
      </w:r>
      <w:r>
        <w:rPr>
          <w:rFonts w:ascii="Times New Roman"/>
          <w:b w:val="false"/>
          <w:i w:val="false"/>
          <w:color w:val="000000"/>
          <w:sz w:val="28"/>
        </w:rPr>
        <w:t>) жалпылама көрсеткіштегі салмағы және ол мына мәнді құрайды: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к1</w:t>
      </w:r>
      <w:r>
        <w:rPr>
          <w:rFonts w:ascii="Times New Roman"/>
          <w:b w:val="false"/>
          <w:i w:val="false"/>
          <w:color w:val="000000"/>
          <w:sz w:val="28"/>
        </w:rPr>
        <w:t xml:space="preserve"> = 20%;</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к2</w:t>
      </w:r>
      <w:r>
        <w:rPr>
          <w:rFonts w:ascii="Times New Roman"/>
          <w:b w:val="false"/>
          <w:i w:val="false"/>
          <w:color w:val="000000"/>
          <w:sz w:val="28"/>
        </w:rPr>
        <w:t xml:space="preserve"> = 20%;</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к3</w:t>
      </w:r>
      <w:r>
        <w:rPr>
          <w:rFonts w:ascii="Times New Roman"/>
          <w:b w:val="false"/>
          <w:i w:val="false"/>
          <w:color w:val="000000"/>
          <w:sz w:val="28"/>
        </w:rPr>
        <w:t xml:space="preserve"> = 5%;</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к4</w:t>
      </w:r>
      <w:r>
        <w:rPr>
          <w:rFonts w:ascii="Times New Roman"/>
          <w:b w:val="false"/>
          <w:i w:val="false"/>
          <w:color w:val="000000"/>
          <w:sz w:val="28"/>
        </w:rPr>
        <w:t xml:space="preserve"> = 5%;</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к5</w:t>
      </w:r>
      <w:r>
        <w:rPr>
          <w:rFonts w:ascii="Times New Roman"/>
          <w:b w:val="false"/>
          <w:i w:val="false"/>
          <w:color w:val="000000"/>
          <w:sz w:val="28"/>
        </w:rPr>
        <w:t xml:space="preserve"> = 10%;</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к6</w:t>
      </w:r>
      <w:r>
        <w:rPr>
          <w:rFonts w:ascii="Times New Roman"/>
          <w:b w:val="false"/>
          <w:i w:val="false"/>
          <w:color w:val="000000"/>
          <w:sz w:val="28"/>
        </w:rPr>
        <w:t xml:space="preserve"> = 10%;</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к7</w:t>
      </w:r>
      <w:r>
        <w:rPr>
          <w:rFonts w:ascii="Times New Roman"/>
          <w:b w:val="false"/>
          <w:i w:val="false"/>
          <w:color w:val="000000"/>
          <w:sz w:val="28"/>
        </w:rPr>
        <w:t xml:space="preserve"> = 7%;</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к8</w:t>
      </w:r>
      <w:r>
        <w:rPr>
          <w:rFonts w:ascii="Times New Roman"/>
          <w:b w:val="false"/>
          <w:i w:val="false"/>
          <w:color w:val="000000"/>
          <w:sz w:val="28"/>
        </w:rPr>
        <w:t xml:space="preserve"> = 3%;</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к9</w:t>
      </w:r>
      <w:r>
        <w:rPr>
          <w:rFonts w:ascii="Times New Roman"/>
          <w:b w:val="false"/>
          <w:i w:val="false"/>
          <w:color w:val="000000"/>
          <w:sz w:val="28"/>
        </w:rPr>
        <w:t xml:space="preserve"> = 5%;</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к10</w:t>
      </w:r>
      <w:r>
        <w:rPr>
          <w:rFonts w:ascii="Times New Roman"/>
          <w:b w:val="false"/>
          <w:i w:val="false"/>
          <w:color w:val="000000"/>
          <w:sz w:val="28"/>
        </w:rPr>
        <w:t xml:space="preserve"> = 5%;</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к11</w:t>
      </w:r>
      <w:r>
        <w:rPr>
          <w:rFonts w:ascii="Times New Roman"/>
          <w:b w:val="false"/>
          <w:i w:val="false"/>
          <w:color w:val="000000"/>
          <w:sz w:val="28"/>
        </w:rPr>
        <w:t xml:space="preserve"> = 10%.</w:t>
      </w:r>
    </w:p>
    <w:bookmarkStart w:name="z34" w:id="32"/>
    <w:p>
      <w:pPr>
        <w:spacing w:after="0"/>
        <w:ind w:left="0"/>
        <w:jc w:val="both"/>
      </w:pPr>
      <w:r>
        <w:rPr>
          <w:rFonts w:ascii="Times New Roman"/>
          <w:b w:val="false"/>
          <w:i w:val="false"/>
          <w:color w:val="000000"/>
          <w:sz w:val="28"/>
        </w:rPr>
        <w:t xml:space="preserve">
      11. Егер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банктің жалпылама көрсеткіші 10 пайызды құраса және одан асса, банк жүйе құраушы банктердің қатарына жатады.</w:t>
      </w:r>
    </w:p>
    <w:bookmarkEnd w:id="32"/>
    <w:bookmarkStart w:name="z35" w:id="33"/>
    <w:p>
      <w:pPr>
        <w:spacing w:after="0"/>
        <w:ind w:left="0"/>
        <w:jc w:val="both"/>
      </w:pPr>
      <w:r>
        <w:rPr>
          <w:rFonts w:ascii="Times New Roman"/>
          <w:b w:val="false"/>
          <w:i w:val="false"/>
          <w:color w:val="000000"/>
          <w:sz w:val="28"/>
        </w:rPr>
        <w:t xml:space="preserve">
      12. Егер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банктің жалпылама көрсеткіші 5 пайыздан асса, бірақ 10 пайыздан кем болса, мұндай банк кезекті бағалау жүргізу нәтижелері бойынша жүйе құраушылар қатарына жатқызылуы мүмкін әлеуетті банктердің тізіміне (watch-list) қосылады.</w:t>
      </w:r>
    </w:p>
    <w:bookmarkEnd w:id="33"/>
    <w:bookmarkStart w:name="z36" w:id="34"/>
    <w:p>
      <w:pPr>
        <w:spacing w:after="0"/>
        <w:ind w:left="0"/>
        <w:jc w:val="both"/>
      </w:pPr>
      <w:r>
        <w:rPr>
          <w:rFonts w:ascii="Times New Roman"/>
          <w:b w:val="false"/>
          <w:i w:val="false"/>
          <w:color w:val="000000"/>
          <w:sz w:val="28"/>
        </w:rPr>
        <w:t>
      13. Инфрақұрылымдық қаржы ұйымы бірегейлік критерийіне сәйкес келген жағдайда жүйе құраушылар қатарына жатады.</w:t>
      </w:r>
    </w:p>
    <w:bookmarkEnd w:id="34"/>
    <w:p>
      <w:pPr>
        <w:spacing w:after="0"/>
        <w:ind w:left="0"/>
        <w:jc w:val="both"/>
      </w:pPr>
      <w:r>
        <w:rPr>
          <w:rFonts w:ascii="Times New Roman"/>
          <w:b w:val="false"/>
          <w:i w:val="false"/>
          <w:color w:val="000000"/>
          <w:sz w:val="28"/>
        </w:rPr>
        <w:t xml:space="preserve">
      Егер инфрақұрылымдық қаржы ұйымы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бағалы қағаздар нарығы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Қағидалардың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бағалы қағаздар нарығындағы кәсіби қызметтің бір түрін жүзеге асыратын жеке-дара ұйым болып табылған жағдайда, инфрақұрылымдық қаржы ұйымы бірегейлік критерийіне сәйкес келеді.</w:t>
      </w:r>
    </w:p>
    <w:bookmarkStart w:name="z37" w:id="35"/>
    <w:p>
      <w:pPr>
        <w:spacing w:after="0"/>
        <w:ind w:left="0"/>
        <w:jc w:val="both"/>
      </w:pPr>
      <w:r>
        <w:rPr>
          <w:rFonts w:ascii="Times New Roman"/>
          <w:b w:val="false"/>
          <w:i w:val="false"/>
          <w:color w:val="000000"/>
          <w:sz w:val="28"/>
        </w:rPr>
        <w:t xml:space="preserve">
      14. Инфрақұрылымдық қаржы ұйымы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критерийге сәйкестігіне қарамастан, жүйе құраушы болып танылуы мүмкін.</w:t>
      </w:r>
    </w:p>
    <w:bookmarkEnd w:id="35"/>
    <w:p>
      <w:pPr>
        <w:spacing w:after="0"/>
        <w:ind w:left="0"/>
        <w:jc w:val="both"/>
      </w:pPr>
      <w:r>
        <w:rPr>
          <w:rFonts w:ascii="Times New Roman"/>
          <w:b w:val="false"/>
          <w:i w:val="false"/>
          <w:color w:val="000000"/>
          <w:sz w:val="28"/>
        </w:rPr>
        <w:t>
      15. Қазақстан Республикасының Ұлттық Банкі жылына бір рет тиісті жылғы 1 шілдедегі жағдай бойынша осы тізімді қалыптастырған жылдан кейінгі жылдың 1 қаңтарынан 31 желтоқсанына дейін жүйе құраушылар қатарына жатқызылған қаржы ұйымдарының тізімін қалыптастырады.</w:t>
      </w:r>
    </w:p>
    <w:bookmarkStart w:name="z38" w:id="36"/>
    <w:p>
      <w:pPr>
        <w:spacing w:after="0"/>
        <w:ind w:left="0"/>
        <w:jc w:val="both"/>
      </w:pPr>
      <w:r>
        <w:rPr>
          <w:rFonts w:ascii="Times New Roman"/>
          <w:b w:val="false"/>
          <w:i w:val="false"/>
          <w:color w:val="000000"/>
          <w:sz w:val="28"/>
        </w:rPr>
        <w:t xml:space="preserve">
      16. Жүйе құраушылар қатарына жатқызылған қаржы ұйымдарының тізімі Қазақстан Республикасының Ұлттық Банкі Төрағасының немесе оның орнындағы адамның бұйрығымен тиісті жылғы 1 қыркүйектен кешіктірмейтін мерзімде бекітіледі.  </w:t>
      </w:r>
    </w:p>
    <w:bookmarkEnd w:id="36"/>
    <w:bookmarkStart w:name="z39" w:id="37"/>
    <w:p>
      <w:pPr>
        <w:spacing w:after="0"/>
        <w:ind w:left="0"/>
        <w:jc w:val="both"/>
      </w:pPr>
      <w:r>
        <w:rPr>
          <w:rFonts w:ascii="Times New Roman"/>
          <w:b w:val="false"/>
          <w:i w:val="false"/>
          <w:color w:val="000000"/>
          <w:sz w:val="28"/>
        </w:rPr>
        <w:t>
      17. Қаржы ұйымын жүйе құраушылар қатарына жатқызылған қаржы ұйымдарының тізіміне қосу туралы, сондай-ақ банкті кезекті бағалау нәтижелері бойынша жүйе құраушылар деп танылатын әлеуетті банктердің тізіміне қосу туралы ақпарат осы қаржы ұйымдарына Қағидалардың 16-тармағында көрсетілген тізімді бекіткен күннен бастап он жұмыс күнінен кешіктірілмейтін мерзімде жіберіледі.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