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4f21" w14:textId="e754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21 қарашадағы № 223 қаулысы. Қазақстан Республикасының Әділет министрлігінде 2014 жылы 20 желтоқсанда № 9986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қаулысымен мақұлданған Қазақстан Республикасының Ұлттық қорын сенімгерлік басқару туралы 2001 жылғы 14 маусымдағы № 299 </w:t>
      </w:r>
      <w:r>
        <w:rPr>
          <w:rFonts w:ascii="Times New Roman"/>
          <w:b w:val="false"/>
          <w:i w:val="false"/>
          <w:color w:val="000000"/>
          <w:sz w:val="28"/>
        </w:rPr>
        <w:t>шартқа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ереже «Қазақстан Республикасының Ұлттық Банкі туралы» 1995 жылғы 30 наурыздағы Қазақстан Республикасының Заңына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қаулысына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16-2-тармақпен толықтырылсын:</w:t>
      </w:r>
      <w:r>
        <w:br/>
      </w:r>
      <w:r>
        <w:rPr>
          <w:rFonts w:ascii="Times New Roman"/>
          <w:b w:val="false"/>
          <w:i w:val="false"/>
          <w:color w:val="000000"/>
          <w:sz w:val="28"/>
        </w:rPr>
        <w:t>
      «16-2. Алтын портфелі – бұл мақсаты валютадағы активтердің халықаралық қаржы нарықтарындағы тартымдылығының ықтимал төмендеуінен сақтау және қорғау болып табылатын, ішкі және/немесе сыртқы алтыннан тұратын портфель.»;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Құрылымдық өнім – әр түрлі қаржы құралдарының бірігуі болып табылатын активтер мен міндеттемелердің жиынтығы.</w:t>
      </w:r>
      <w:r>
        <w:br/>
      </w:r>
      <w:r>
        <w:rPr>
          <w:rFonts w:ascii="Times New Roman"/>
          <w:b w:val="false"/>
          <w:i w:val="false"/>
          <w:color w:val="000000"/>
          <w:sz w:val="28"/>
        </w:rPr>
        <w:t>
</w:t>
      </w:r>
      <w:r>
        <w:rPr>
          <w:rFonts w:ascii="Times New Roman"/>
          <w:b w:val="false"/>
          <w:i w:val="false"/>
          <w:color w:val="000000"/>
          <w:sz w:val="28"/>
        </w:rPr>
        <w:t>
      20. Активтерді тактикалық бөлу (tactical asset allocation) – эталондық портфель және оның рұқсат етілген ауытқулары шеңберінде қаржы құралдарының түрлі кластарының үлесін қаржы құралдарының, оның ішінде туынды қаржы құралдарының портфеліне/портфелінен сатып алу/сату/аудару жолымен өзгерту. Портфель активтерін тактикалық бөлу портфельдің кірістілігін эталондық портфельмен салыстырғанда арттыру мақсатында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мазмұндағы 26-1-тармақпен толықтырылсын:</w:t>
      </w:r>
      <w:r>
        <w:br/>
      </w:r>
      <w:r>
        <w:rPr>
          <w:rFonts w:ascii="Times New Roman"/>
          <w:b w:val="false"/>
          <w:i w:val="false"/>
          <w:color w:val="000000"/>
          <w:sz w:val="28"/>
        </w:rPr>
        <w:t>
      «26-1. Алтын депозит (салым) – келісілген пайыздық мөлшерлемеде белгілі бір кезеңге салынған металл шоттарындағы алтын салымы.»;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 Қордың портфельдерін басқару жөніндегі жалпы стратегия»;</w:t>
      </w:r>
      <w:r>
        <w:br/>
      </w:r>
      <w:r>
        <w:rPr>
          <w:rFonts w:ascii="Times New Roman"/>
          <w:b w:val="false"/>
          <w:i w:val="false"/>
          <w:color w:val="000000"/>
          <w:sz w:val="28"/>
        </w:rPr>
        <w:t>
</w:t>
      </w:r>
      <w:r>
        <w:rPr>
          <w:rFonts w:ascii="Times New Roman"/>
          <w:b w:val="false"/>
          <w:i w:val="false"/>
          <w:color w:val="000000"/>
          <w:sz w:val="28"/>
        </w:rPr>
        <w:t>
      27-тармақ мынадай редакцияда жазылсын:</w:t>
      </w:r>
      <w:r>
        <w:br/>
      </w:r>
      <w:r>
        <w:rPr>
          <w:rFonts w:ascii="Times New Roman"/>
          <w:b w:val="false"/>
          <w:i w:val="false"/>
          <w:color w:val="000000"/>
          <w:sz w:val="28"/>
        </w:rPr>
        <w:t>
      «27. Қордың активтері тұрақтандыру портфеліне, жинақ портфеліне және алтын портфеліне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Шетел валютасындағы және алтын депозиттері (салымдар) A-1 (Standard&amp;Poor’s)/(P1 Moody’s) 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осы Ереженің 56-4 тармағында көзделген.»;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xml:space="preserve"> мынадай мазмұндағы 35-4-тармақпен толықтырылсын:</w:t>
      </w:r>
      <w:r>
        <w:br/>
      </w:r>
      <w:r>
        <w:rPr>
          <w:rFonts w:ascii="Times New Roman"/>
          <w:b w:val="false"/>
          <w:i w:val="false"/>
          <w:color w:val="000000"/>
          <w:sz w:val="28"/>
        </w:rPr>
        <w:t>
      «35-4. Мемлекеттік бағалы қағаздың кредиттік рейтингі (Standard&amp;Poor's немесе Moody’s) болмаған кезде мемлекеттік бағалы қағаздың кредиттік рейтингі берілгенге дейін эмитенттің кредиттік рейтингі қолданылады.»;</w:t>
      </w:r>
      <w:r>
        <w:br/>
      </w:r>
      <w:r>
        <w:rPr>
          <w:rFonts w:ascii="Times New Roman"/>
          <w:b w:val="false"/>
          <w:i w:val="false"/>
          <w:color w:val="000000"/>
          <w:sz w:val="28"/>
        </w:rPr>
        <w:t>
</w:t>
      </w:r>
      <w:r>
        <w:rPr>
          <w:rFonts w:ascii="Times New Roman"/>
          <w:b w:val="false"/>
          <w:i w:val="false"/>
          <w:color w:val="000000"/>
          <w:sz w:val="28"/>
        </w:rPr>
        <w:t>
      36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Merrill Lynch 6-month US Treasury Bill Index индексінің құрамы тұрақтандыру портфелінің эталондық портфелі болып саналады. Бұл индекс өтеу мерзімі алты айға дейінгі АҚШ-тың қазынашылық вексельдерінен тұратын Merrill Lynch компаниясының индексі болып табылады. Кірістілік және тәуекел көрсеткіштері күн сайын есептеледі.</w:t>
      </w:r>
      <w:r>
        <w:br/>
      </w:r>
      <w:r>
        <w:rPr>
          <w:rFonts w:ascii="Times New Roman"/>
          <w:b w:val="false"/>
          <w:i w:val="false"/>
          <w:color w:val="000000"/>
          <w:sz w:val="28"/>
        </w:rPr>
        <w:t>
</w:t>
      </w:r>
      <w:r>
        <w:rPr>
          <w:rFonts w:ascii="Times New Roman"/>
          <w:b w:val="false"/>
          <w:i w:val="false"/>
          <w:color w:val="000000"/>
          <w:sz w:val="28"/>
        </w:rPr>
        <w:t>
      37. Тұрақтандыру портфелі АА - Standard&amp;Poor’s / Aа2 - Moody’s төмен емес кредиттік рейтингі бар елдердің өтімділігі жоғары активтерінен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«48. Әлемнің дамыған елдерінің мына:</w:t>
      </w:r>
      <w:r>
        <w:br/>
      </w:r>
      <w:r>
        <w:rPr>
          <w:rFonts w:ascii="Times New Roman"/>
          <w:b w:val="false"/>
          <w:i w:val="false"/>
          <w:color w:val="000000"/>
          <w:sz w:val="28"/>
        </w:rPr>
        <w:t>
      Merrill Lynch U.S. Treasuries, 1-5 Yrs (GVQ0) - 30 (отыз) пайыз;</w:t>
      </w:r>
      <w:r>
        <w:br/>
      </w:r>
      <w:r>
        <w:rPr>
          <w:rFonts w:ascii="Times New Roman"/>
          <w:b w:val="false"/>
          <w:i w:val="false"/>
          <w:color w:val="000000"/>
          <w:sz w:val="28"/>
        </w:rPr>
        <w:t>
      Merrill Lynch 1-5 Year All Euro Government Index, DE, FR, NL, AT, LU, FI (EVDF) - 26 (жиырма алты) пайыз;</w:t>
      </w:r>
      <w:r>
        <w:br/>
      </w:r>
      <w:r>
        <w:rPr>
          <w:rFonts w:ascii="Times New Roman"/>
          <w:b w:val="false"/>
          <w:i w:val="false"/>
          <w:color w:val="000000"/>
          <w:sz w:val="28"/>
        </w:rPr>
        <w:t>
      Merrill Lynch U.K. Gilts, 1-5 Yrs (GVL0) - 10 (он) пайыз;</w:t>
      </w:r>
      <w:r>
        <w:br/>
      </w:r>
      <w:r>
        <w:rPr>
          <w:rFonts w:ascii="Times New Roman"/>
          <w:b w:val="false"/>
          <w:i w:val="false"/>
          <w:color w:val="000000"/>
          <w:sz w:val="28"/>
        </w:rPr>
        <w:t>
      Merrill Lynch Japanese Governments, 1-5 Yrs (GVY0) – 10 (он) пайыз;</w:t>
      </w:r>
      <w:r>
        <w:br/>
      </w:r>
      <w:r>
        <w:rPr>
          <w:rFonts w:ascii="Times New Roman"/>
          <w:b w:val="false"/>
          <w:i w:val="false"/>
          <w:color w:val="000000"/>
          <w:sz w:val="28"/>
        </w:rPr>
        <w:t>
      Merrill Lynch Australian Government, 1-5 Yrs (GVT0) – 5 (бес) пайыз;</w:t>
      </w:r>
      <w:r>
        <w:br/>
      </w:r>
      <w:r>
        <w:rPr>
          <w:rFonts w:ascii="Times New Roman"/>
          <w:b w:val="false"/>
          <w:i w:val="false"/>
          <w:color w:val="000000"/>
          <w:sz w:val="28"/>
        </w:rPr>
        <w:t>
      Merrill Lynch Canadian Governments, 1-5 Yrs (GVC0) – 5 (бес) пайыз;</w:t>
      </w:r>
      <w:r>
        <w:br/>
      </w:r>
      <w:r>
        <w:rPr>
          <w:rFonts w:ascii="Times New Roman"/>
          <w:b w:val="false"/>
          <w:i w:val="false"/>
          <w:color w:val="000000"/>
          <w:sz w:val="28"/>
        </w:rPr>
        <w:t>
      Merrill Lynch South Korean Government Index, 1-5 Yrs (GSKV) – 5 (бес) пайыз;</w:t>
      </w:r>
      <w:r>
        <w:br/>
      </w:r>
      <w:r>
        <w:rPr>
          <w:rFonts w:ascii="Times New Roman"/>
          <w:b w:val="false"/>
          <w:i w:val="false"/>
          <w:color w:val="000000"/>
          <w:sz w:val="28"/>
        </w:rPr>
        <w:t>
      Merrill Lynch Hong Kong Government Index, 1-5 Yrs (GVHK) – 3 (үш) пайыз;</w:t>
      </w:r>
      <w:r>
        <w:br/>
      </w:r>
      <w:r>
        <w:rPr>
          <w:rFonts w:ascii="Times New Roman"/>
          <w:b w:val="false"/>
          <w:i w:val="false"/>
          <w:color w:val="000000"/>
          <w:sz w:val="28"/>
        </w:rPr>
        <w:t>
      Merrill Lynch Singapore Government Index, 1-5 Yrs (GVSP) – 2 (екі) пайыз;</w:t>
      </w:r>
      <w:r>
        <w:br/>
      </w:r>
      <w:r>
        <w:rPr>
          <w:rFonts w:ascii="Times New Roman"/>
          <w:b w:val="false"/>
          <w:i w:val="false"/>
          <w:color w:val="000000"/>
          <w:sz w:val="28"/>
        </w:rPr>
        <w:t>
      Merrill Lynch Danish Governments, 1-5 Yrs (GVM0) – 2 (екі) пайыз;</w:t>
      </w:r>
      <w:r>
        <w:br/>
      </w:r>
      <w:r>
        <w:rPr>
          <w:rFonts w:ascii="Times New Roman"/>
          <w:b w:val="false"/>
          <w:i w:val="false"/>
          <w:color w:val="000000"/>
          <w:sz w:val="28"/>
        </w:rPr>
        <w:t>
      Merrill Lynch Swedish Governments, 1-5 Yrs (GVW0) – 2 (екі) пайыз өтімділігі жоғары бағалы қағаздардан тұратын облигацияларының Композиттік Индексі жинақ портфелінің кірісі белгіленген бағалы қағаздар портфелі үшін эталондық портфель болып саналады.</w:t>
      </w:r>
      <w:r>
        <w:br/>
      </w:r>
      <w:r>
        <w:rPr>
          <w:rFonts w:ascii="Times New Roman"/>
          <w:b w:val="false"/>
          <w:i w:val="false"/>
          <w:color w:val="000000"/>
          <w:sz w:val="28"/>
        </w:rPr>
        <w:t>
      Осы индекстегі эталондық бөлуге қайта оралу күнтізбелік тоқсанның соңғы жұмыс күні жүргізіледі. Бағалы қағаздардың индекстегі құрамы ай сайын өзгереді. Кірістілік және тәуекел көрсеткіштері күн сайын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«51. Бағалы қағаздың ең төменгі ұзақ мерзімді кредиттік рейтингі – BBB (Standard&amp;Poor’s)/Baa2 (Moody’s). Жинақ портфелінің жеке басқарушысының портфеліндегі корпоративтік бағалы қағаздарға осы Ереженің 5-қосымшасына сәйкес жинақ портфелінің жеке басқарушысының портфеліндегі корпоративтік бағалы қағаздарға ұзақ мерзімді кредиттік рейтингі (Standard&amp;Poor's/Moody’s) бойынша лимиттер белгіленеді.</w:t>
      </w:r>
      <w:r>
        <w:br/>
      </w:r>
      <w:r>
        <w:rPr>
          <w:rFonts w:ascii="Times New Roman"/>
          <w:b w:val="false"/>
          <w:i w:val="false"/>
          <w:color w:val="000000"/>
          <w:sz w:val="28"/>
        </w:rPr>
        <w:t>
      Рұқсат етілген ұзақ мерзімді кредиттік рейтингі (Standard&amp;Poor's/Moody’s) бар корпоративтік эмитенттің бағалы қағаздарына кредиттік рейтингі (Standard&amp;Poor's/Moody’s) болмаған жағдайда, бұл корпоративтік бағалы қағаздарды сатып алу туралы шешімді Ұлттық Банк Басқармасы қабылдайды.</w:t>
      </w:r>
      <w:r>
        <w:br/>
      </w:r>
      <w:r>
        <w:rPr>
          <w:rFonts w:ascii="Times New Roman"/>
          <w:b w:val="false"/>
          <w:i w:val="false"/>
          <w:color w:val="000000"/>
          <w:sz w:val="28"/>
        </w:rPr>
        <w:t xml:space="preserve">
      Ақша нарығының корпоративтік бағалы қағаздар эмитентінің ең төменгі қысқа мерзімді кредиттік рейтингі – А3(Standard&amp;Poor's)/P3(Moody's). </w:t>
      </w:r>
      <w:r>
        <w:br/>
      </w:r>
      <w:r>
        <w:rPr>
          <w:rFonts w:ascii="Times New Roman"/>
          <w:b w:val="false"/>
          <w:i w:val="false"/>
          <w:color w:val="000000"/>
          <w:sz w:val="28"/>
        </w:rPr>
        <w:t>
      Эталондық портфельге кірмейтін АА-(Standard&amp;Poor's)/Aa3(Moody's) және одан да төмен ұзақ мерзімді кредиттік рейтингі бар елдердің мемлекеттік борыштық міндеттемелері үшін жинақ портфеліндегі ең көп ауытқулар осы Ереженің 6-қосымшасына сәйкес айқындалады.</w:t>
      </w:r>
      <w:r>
        <w:br/>
      </w:r>
      <w:r>
        <w:rPr>
          <w:rFonts w:ascii="Times New Roman"/>
          <w:b w:val="false"/>
          <w:i w:val="false"/>
          <w:color w:val="000000"/>
          <w:sz w:val="28"/>
        </w:rPr>
        <w:t>
      Жылжымайтын мүлікке (MBS) немесе активтерге (ABS) кепілге салынған бағалы қағаздардың кредиттік рейтингілері ААА-дан ВВВ – Standard&amp;Poor’s дейін немесе Ааа-дан Ваа2 – Moody’s дейін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«52. Жинақ портфелінің акциялар пакеті (Global Equity) үшін MSCI World Index (MXWO) индексі - Morgan Stanley Capital International компаниясы жасайтын, әлемнің дамыған елдері компанияларының акцияларынан тұратын индекс эталондық портфель болып табылады. Кірістілік көрсеткіші күн сайын есептеледі.»;</w:t>
      </w:r>
      <w:r>
        <w:br/>
      </w:r>
      <w:r>
        <w:rPr>
          <w:rFonts w:ascii="Times New Roman"/>
          <w:b w:val="false"/>
          <w:i w:val="false"/>
          <w:color w:val="000000"/>
          <w:sz w:val="28"/>
        </w:rPr>
        <w:t>
</w:t>
      </w:r>
      <w:r>
        <w:rPr>
          <w:rFonts w:ascii="Times New Roman"/>
          <w:b w:val="false"/>
          <w:i w:val="false"/>
          <w:color w:val="000000"/>
          <w:sz w:val="28"/>
        </w:rPr>
        <w:t>
      мынадай мазмұндағы 5-1-тараумен толықтырылсын:</w:t>
      </w:r>
      <w:r>
        <w:br/>
      </w:r>
      <w:r>
        <w:rPr>
          <w:rFonts w:ascii="Times New Roman"/>
          <w:b w:val="false"/>
          <w:i w:val="false"/>
          <w:color w:val="000000"/>
          <w:sz w:val="28"/>
        </w:rPr>
        <w:t>
      «5-1. Алтын портфелінің өлшемдері</w:t>
      </w:r>
      <w:r>
        <w:br/>
      </w:r>
      <w:r>
        <w:rPr>
          <w:rFonts w:ascii="Times New Roman"/>
          <w:b w:val="false"/>
          <w:i w:val="false"/>
          <w:color w:val="000000"/>
          <w:sz w:val="28"/>
        </w:rPr>
        <w:t>
      56-1. Алтын портфелі құйма түрінде және металл шоттардағы ішкі (Қазақстан Республикасы Ұлттық Банкінің Кассалық операциялар және құндылықтарды сақтау орталығында (филиалында) (бұдан әрі – Орталық) орналастырылған) және сыртқы (Қазақстан Республикасынан тыс орналастырылатын) алтыннан тұрады.</w:t>
      </w:r>
      <w:r>
        <w:br/>
      </w:r>
      <w:r>
        <w:rPr>
          <w:rFonts w:ascii="Times New Roman"/>
          <w:b w:val="false"/>
          <w:i w:val="false"/>
          <w:color w:val="000000"/>
          <w:sz w:val="28"/>
        </w:rPr>
        <w:t>
      56-2.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r>
        <w:br/>
      </w:r>
      <w:r>
        <w:rPr>
          <w:rFonts w:ascii="Times New Roman"/>
          <w:b w:val="false"/>
          <w:i w:val="false"/>
          <w:color w:val="000000"/>
          <w:sz w:val="28"/>
        </w:rPr>
        <w:t>
      56-3. Алтын портфелінің көлемі аудару сәтінде Қордың көлемінен 5 (бес) пайыздан аспайды.</w:t>
      </w:r>
      <w:r>
        <w:br/>
      </w:r>
      <w:r>
        <w:rPr>
          <w:rFonts w:ascii="Times New Roman"/>
          <w:b w:val="false"/>
          <w:i w:val="false"/>
          <w:color w:val="000000"/>
          <w:sz w:val="28"/>
        </w:rPr>
        <w:t>
      56-4. Активтермен қамтамасыз етілмеген алтындағы депозиттің (салымның) ең көп мерзімі 1 (бір) жылдан аспайды. Активтермен қамтамасыз етілген алтындағы депозиттің (салымның) ең көп мерзімі 5 (бес) жылдан аспайды. Қамтамасыз ету ретінде осы Ережемен инвестициялау үшін рұқсат етілген, ұзақ мерзімді кредиттік рейтингі АА-(Standard&amp;Poor's)/Aa3(Moody's) және одан жоғары болатын мемлекеттік бағалы қағаздар болады.</w:t>
      </w:r>
      <w:r>
        <w:br/>
      </w:r>
      <w:r>
        <w:rPr>
          <w:rFonts w:ascii="Times New Roman"/>
          <w:b w:val="false"/>
          <w:i w:val="false"/>
          <w:color w:val="000000"/>
          <w:sz w:val="28"/>
        </w:rPr>
        <w:t>
      56-5. Алтынды Орталықтағы шоттарға есептей отырып оны ішкі нарықта сатып алған кезде бұл алтын ішкі алтын позицияларына жатады, ал оны Қазақстан Республикасынан тыс ашылған шоттарға есептеген кезде Қордың сыртқы алтынының позицияларында есепке алынады.</w:t>
      </w:r>
      <w:r>
        <w:br/>
      </w:r>
      <w:r>
        <w:rPr>
          <w:rFonts w:ascii="Times New Roman"/>
          <w:b w:val="false"/>
          <w:i w:val="false"/>
          <w:color w:val="000000"/>
          <w:sz w:val="28"/>
        </w:rPr>
        <w:t>
      56-6. Сыртқы алтынның көлемінен 25 (жиырма бес) пайызға дейін AAA(Standard&amp;Poor's) немесе Ааа (Moody's) төмен емес ұзақ мерзімді кредиттік рейтингі бар және өтеу мерзімі 10 (он) жылдан аспайтын алтынның бағасына байланысты бағалы қағаздарға инвестициялауға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 Кастодиан Ұлттық Банкке Қор активтерінің мониторинг жүйесін ұсынады.»;</w:t>
      </w:r>
      <w:r>
        <w:br/>
      </w:r>
      <w:r>
        <w:rPr>
          <w:rFonts w:ascii="Times New Roman"/>
          <w:b w:val="false"/>
          <w:i w:val="false"/>
          <w:color w:val="000000"/>
          <w:sz w:val="28"/>
        </w:rPr>
        <w:t>
</w:t>
      </w:r>
      <w:r>
        <w:rPr>
          <w:rFonts w:ascii="Times New Roman"/>
          <w:b w:val="false"/>
          <w:i w:val="false"/>
          <w:color w:val="000000"/>
          <w:sz w:val="28"/>
        </w:rPr>
        <w:t>
      мынадай мазмұндағы 63-1, 63-2, 63-3-тармақтармен толықтырылсын:</w:t>
      </w:r>
      <w:r>
        <w:br/>
      </w:r>
      <w:r>
        <w:rPr>
          <w:rFonts w:ascii="Times New Roman"/>
          <w:b w:val="false"/>
          <w:i w:val="false"/>
          <w:color w:val="000000"/>
          <w:sz w:val="28"/>
        </w:rPr>
        <w:t>
      «63-1. Эмитент рейтингі A+ (Standard&amp;Poor’s)/А1 (Moody’s)-тен төмен емес халықаралық қаржы ұйымдары және тәуелсіз агенттіктер шығарған құрылымдық өнімдерді сатып алуға рұқсат етіледі.</w:t>
      </w:r>
      <w:r>
        <w:br/>
      </w:r>
      <w:r>
        <w:rPr>
          <w:rFonts w:ascii="Times New Roman"/>
          <w:b w:val="false"/>
          <w:i w:val="false"/>
          <w:color w:val="000000"/>
          <w:sz w:val="28"/>
        </w:rPr>
        <w:t>
      63-2. Ақша ағындары және/немесе негізгі өтеу сомасы валюталық, шикізат нарықтарына және/немесе акциялар нарықтарына не кредиттік оқиғаларға байланысты құрылымдық өнімдерді сатып алуға рұқсат етілмейді.</w:t>
      </w:r>
      <w:r>
        <w:br/>
      </w:r>
      <w:r>
        <w:rPr>
          <w:rFonts w:ascii="Times New Roman"/>
          <w:b w:val="false"/>
          <w:i w:val="false"/>
          <w:color w:val="000000"/>
          <w:sz w:val="28"/>
        </w:rPr>
        <w:t>
      63-3. Егер құрылымдық өнім бойынша нарықтық қайта бағалау болған жағдайда, оны сатып алуға жол беріледі.»;</w:t>
      </w:r>
      <w:r>
        <w:br/>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70-тармақ мынадай редакцияда жазылсын:</w:t>
      </w:r>
      <w:r>
        <w:br/>
      </w:r>
      <w:r>
        <w:rPr>
          <w:rFonts w:ascii="Times New Roman"/>
          <w:b w:val="false"/>
          <w:i w:val="false"/>
          <w:color w:val="000000"/>
          <w:sz w:val="28"/>
        </w:rPr>
        <w:t>
      «70. Құрылымдық өнімдерге қолданылатын шектеулер MBS-қа және ABS-қа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____________ (__________)</w:t>
      </w:r>
      <w:r>
        <w:br/>
      </w:r>
      <w:r>
        <w:rPr>
          <w:rFonts w:ascii="Times New Roman"/>
          <w:b w:val="false"/>
          <w:i w:val="false"/>
          <w:color w:val="000000"/>
          <w:sz w:val="28"/>
        </w:rPr>
        <w:t>
      2014 жылғы 18 желтоқсан</w:t>
      </w:r>
    </w:p>
    <w:bookmarkStart w:name="z2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2014 жылғы 21 қарашадағы</w:t>
      </w:r>
      <w:r>
        <w:br/>
      </w:r>
      <w:r>
        <w:rPr>
          <w:rFonts w:ascii="Times New Roman"/>
          <w:b w:val="false"/>
          <w:i w:val="false"/>
          <w:color w:val="000000"/>
          <w:sz w:val="28"/>
        </w:rPr>
        <w:t>
№ 223 қаулысына</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 xml:space="preserve">Қазақстан Республикасы Ұлттық қорының </w:t>
      </w:r>
      <w:r>
        <w:br/>
      </w:r>
      <w:r>
        <w:rPr>
          <w:rFonts w:ascii="Times New Roman"/>
          <w:b w:val="false"/>
          <w:i w:val="false"/>
          <w:color w:val="000000"/>
          <w:sz w:val="28"/>
        </w:rPr>
        <w:t>
инвестициялық операцияларын</w:t>
      </w:r>
      <w:r>
        <w:br/>
      </w:r>
      <w:r>
        <w:rPr>
          <w:rFonts w:ascii="Times New Roman"/>
          <w:b w:val="false"/>
          <w:i w:val="false"/>
          <w:color w:val="000000"/>
          <w:sz w:val="28"/>
        </w:rPr>
        <w:t>
жүзеге асыру ережесіне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Кредиттік рейтингтер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7"/>
        <w:gridCol w:w="7233"/>
      </w:tblGrid>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кредиттік рейтингтер</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Аа1</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Аа2</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Аа3</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Baa1</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Baa2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кредиттік рейтингтер</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А-1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Р-3</w:t>
            </w:r>
          </w:p>
        </w:tc>
      </w:tr>
    </w:tbl>
    <w:bookmarkStart w:name="z27"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2014 жылғы 21 қарашадағы</w:t>
      </w:r>
      <w:r>
        <w:br/>
      </w:r>
      <w:r>
        <w:rPr>
          <w:rFonts w:ascii="Times New Roman"/>
          <w:b w:val="false"/>
          <w:i w:val="false"/>
          <w:color w:val="000000"/>
          <w:sz w:val="28"/>
        </w:rPr>
        <w:t>
№ 223 қаулысына</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 xml:space="preserve">Қазақстан Республикасы Ұлттық қорының </w:t>
      </w:r>
      <w:r>
        <w:br/>
      </w:r>
      <w:r>
        <w:rPr>
          <w:rFonts w:ascii="Times New Roman"/>
          <w:b w:val="false"/>
          <w:i w:val="false"/>
          <w:color w:val="000000"/>
          <w:sz w:val="28"/>
        </w:rPr>
        <w:t>
инвестициялық операцияларын</w:t>
      </w:r>
      <w:r>
        <w:br/>
      </w:r>
      <w:r>
        <w:rPr>
          <w:rFonts w:ascii="Times New Roman"/>
          <w:b w:val="false"/>
          <w:i w:val="false"/>
          <w:color w:val="000000"/>
          <w:sz w:val="28"/>
        </w:rPr>
        <w:t>
жүзеге асыру ережесіне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Кірісі белгіленген бағалы қағаздар портфелінің</w:t>
      </w:r>
      <w:r>
        <w:br/>
      </w:r>
      <w:r>
        <w:rPr>
          <w:rFonts w:ascii="Times New Roman"/>
          <w:b/>
          <w:i w:val="false"/>
          <w:color w:val="000000"/>
        </w:rPr>
        <w:t>
секторлық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3"/>
        <w:gridCol w:w="2493"/>
        <w:gridCol w:w="2684"/>
      </w:tblGrid>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валюта (ағымдағы шоттардағы қалдықтар; келесі жұмыс күні қайтару мүмкіндігімен ақша нарығының қорларына орналастырылған қаражат), эталондық портфельге кіретін елдердің мемлекеттік (тәуелсіз) және агенттік борыштық міндеттемелері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борыштық міндеттемелері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Эталондық портфельге кірмейтін елдердің мемлекеттік (тәуелсіз) борыштық міндеттемелері, агенттік борыштық міндеттемелері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 (салымдар), оның ішінде репо операцияларынан депозиттерге орналастырылған қаражат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 (Tracking Error бойынша шектеумен реттеледі)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өнімдер (MBS, ABS қоспағанда)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(MBS) және активтерге (ABS) кепілге салынған бағалы қағаздар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және коммерциялық бағалы қағаздар (ECP)</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28" w:id="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2014 жылғы 21 қарашадағы</w:t>
      </w:r>
      <w:r>
        <w:br/>
      </w:r>
      <w:r>
        <w:rPr>
          <w:rFonts w:ascii="Times New Roman"/>
          <w:b w:val="false"/>
          <w:i w:val="false"/>
          <w:color w:val="000000"/>
          <w:sz w:val="28"/>
        </w:rPr>
        <w:t>
№ 223 қаулысына</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Қазақстан Республикасы Ұлттық қорының</w:t>
      </w:r>
      <w:r>
        <w:br/>
      </w:r>
      <w:r>
        <w:rPr>
          <w:rFonts w:ascii="Times New Roman"/>
          <w:b w:val="false"/>
          <w:i w:val="false"/>
          <w:color w:val="000000"/>
          <w:sz w:val="28"/>
        </w:rPr>
        <w:t>
инвестициялық операцияларын</w:t>
      </w:r>
      <w:r>
        <w:br/>
      </w:r>
      <w:r>
        <w:rPr>
          <w:rFonts w:ascii="Times New Roman"/>
          <w:b w:val="false"/>
          <w:i w:val="false"/>
          <w:color w:val="000000"/>
          <w:sz w:val="28"/>
        </w:rPr>
        <w:t>
жүзеге асыру ережесіне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Жинақ портфелінің жеке басқарушысының портфеліндегі</w:t>
      </w:r>
      <w:r>
        <w:br/>
      </w:r>
      <w:r>
        <w:rPr>
          <w:rFonts w:ascii="Times New Roman"/>
          <w:b/>
          <w:i w:val="false"/>
          <w:color w:val="000000"/>
        </w:rPr>
        <w:t>
корпоративтік бағалы қағаздарға ұзақ мерзімді кредиттік</w:t>
      </w:r>
      <w:r>
        <w:br/>
      </w:r>
      <w:r>
        <w:rPr>
          <w:rFonts w:ascii="Times New Roman"/>
          <w:b/>
          <w:i w:val="false"/>
          <w:color w:val="000000"/>
        </w:rPr>
        <w:t>
рейтингі (Standard&amp;Poor’s)/Moody’s) бойынша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3"/>
        <w:gridCol w:w="1917"/>
        <w:gridCol w:w="2430"/>
      </w:tblGrid>
      <w:tr>
        <w:trPr>
          <w:trHeight w:val="3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портфелінің жеке басқарушысының портфеліндегі корпоративтік бағалы қағаздар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r>
      <w:tr>
        <w:trPr>
          <w:trHeight w:val="3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BBB/Ваа2-ден бастап қоса алғанда ВВВ+Ваа1 дейін (BBB/Ваа2 ұзақ мерзімді кредиттік рейтингі бар үлес 2%-дан аспауға тиіс)</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A-/А3 бастап қоса алғанда A/А2 дейін ұзақ мерзімді кредиттік рейтингі бар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А+/А1 бастап қоса алғанда AA-/Аа3 дейін ұзақ мерзімді кредиттік рейтингі бар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9" w:id="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2014 жылғы 21 қарашадағы</w:t>
      </w:r>
      <w:r>
        <w:br/>
      </w:r>
      <w:r>
        <w:rPr>
          <w:rFonts w:ascii="Times New Roman"/>
          <w:b w:val="false"/>
          <w:i w:val="false"/>
          <w:color w:val="000000"/>
          <w:sz w:val="28"/>
        </w:rPr>
        <w:t>
№ 223 қаулысына</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Қазақстан Республикасы Ұлттық қорының</w:t>
      </w:r>
      <w:r>
        <w:br/>
      </w:r>
      <w:r>
        <w:rPr>
          <w:rFonts w:ascii="Times New Roman"/>
          <w:b w:val="false"/>
          <w:i w:val="false"/>
          <w:color w:val="000000"/>
          <w:sz w:val="28"/>
        </w:rPr>
        <w:t>
инвестициялық операцияларын</w:t>
      </w:r>
      <w:r>
        <w:br/>
      </w:r>
      <w:r>
        <w:rPr>
          <w:rFonts w:ascii="Times New Roman"/>
          <w:b w:val="false"/>
          <w:i w:val="false"/>
          <w:color w:val="000000"/>
          <w:sz w:val="28"/>
        </w:rPr>
        <w:t>
жүзеге асыру ережесіне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АА-(Standard&amp;Poor's)/Aa3(Moody's) ұзақ мерзімді және одан төмен</w:t>
      </w:r>
      <w:r>
        <w:br/>
      </w:r>
      <w:r>
        <w:rPr>
          <w:rFonts w:ascii="Times New Roman"/>
          <w:b/>
          <w:i w:val="false"/>
          <w:color w:val="000000"/>
        </w:rPr>
        <w:t>
кредиттік рейтингі бар эталондық портфельге кірмейтін елдердің</w:t>
      </w:r>
      <w:r>
        <w:br/>
      </w:r>
      <w:r>
        <w:rPr>
          <w:rFonts w:ascii="Times New Roman"/>
          <w:b/>
          <w:i w:val="false"/>
          <w:color w:val="000000"/>
        </w:rPr>
        <w:t>
мемлекеттік борыштық міндеттемелері үшін жинақ портфеліндегі ең</w:t>
      </w:r>
      <w:r>
        <w:br/>
      </w:r>
      <w:r>
        <w:rPr>
          <w:rFonts w:ascii="Times New Roman"/>
          <w:b/>
          <w:i w:val="false"/>
          <w:color w:val="000000"/>
        </w:rPr>
        <w:t>
жоғары ауытқулар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4"/>
        <w:gridCol w:w="2461"/>
        <w:gridCol w:w="3385"/>
      </w:tblGrid>
      <w:tr>
        <w:trPr>
          <w:trHeight w:val="30" w:hRule="atLeast"/>
        </w:trPr>
        <w:tc>
          <w:tcPr>
            <w:tcW w:w="7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r>
      <w:tr>
        <w:trPr>
          <w:trHeight w:val="30" w:hRule="atLeast"/>
        </w:trPr>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ВВВ/Baa2 бастап қоса алғанда BBB+/Baa1 дейін ұзақ мерзімді кредиттік рейтингі бар елдердің мемлекеттік борыштық міндеттемелері (ВВВ/Baa2 ұзақ мерзімді кредиттік рейтингі бар үлес 3%-дан аспауға тиіс)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А-/А3 бастап қоса алғанда А/А2 дейін ұзақ мерзімді кредиттік рейтингі бар елдердің мемлекеттік борыштық міндеттемелері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А+/А1 бастап қоса алғанда АА-/Аа3 дейін ұзақ мерзімді кредиттік рейтингі бар елдердің мемлекеттік борыштық міндеттемелері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