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af83" w14:textId="025a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Аягөз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2014 жылғы 09 желтоқсандағы № 711 қаулысы. Шығыс Қазақстан облысының Әділет департаментінде 2014 жылғы 23 желтоқсанда № 3590 болып тіркелді. Күші жойылды - Шығыс Қазақстан облысы Аягөз ауданы әкімдігінің 2016 жылғы 06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Аягөз ауданы әкімдігінің 06.01.2016 № 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 мен бюджет қаражатын ескере отырып, жұмыспен қамтудың мемлекеттiк саясатын iске асыру және жұмыспен қамту саласында қосымша мемлекеттiк кепiлдiктердi қамтамасыз ету мақсатында,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Аягөз ауданы аумағында тұратын халықтың келесi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берушi – заңды тұлғаның таратылуына не жұмыс берушi –жеке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инспекциясы пробация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қызметiнiң есебiнде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терроризм актісінен жәбірленуші адамдар және оның жолын кесуге қатысқан адамдар кіреді;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ұзақ уақыт (бiр жылдан астам) жұмыс iстемейтiн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асыраушысы жоқ жалғызiлiктiлер;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есiрткiге тәуелдi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АҚТҚ-инфекциясын жұқтырған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бiр де жұмыс iстеушiсi жоқ жанұялардың адамдары;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көп балалы от басына жататын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әкiмiнiң орынбасары С.Ысқақовқа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