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1f92" w14:textId="ff31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27 наурыздағы № 162 шешімі. Оңтүстік Қазақстан облысының Әділет департаментінде 2014 жылғы 23 сәуірде № 2623 болып тіркелді. Күшi жойылды - Оңтүстiк Қазақстан облысы Созақ аудандық мәслихатының 2016 жылғы 23 маусымдағы № 24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Созақ аудандық мәслихатының 23.06.2016 № 24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Созақ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ХХVII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162 шешімімен бекітілген</w:t>
            </w:r>
          </w:p>
        </w:tc>
      </w:tr>
    </w:tbl>
    <w:bookmarkStart w:name="z5" w:id="0"/>
    <w:p>
      <w:pPr>
        <w:spacing w:after="0"/>
        <w:ind w:left="0"/>
        <w:jc w:val="left"/>
      </w:pPr>
      <w:r>
        <w:rPr>
          <w:rFonts w:ascii="Times New Roman"/>
          <w:b/>
          <w:i w:val="false"/>
          <w:color w:val="000000"/>
        </w:rPr>
        <w:t xml:space="preserve"> Созақ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Созақ аудандық мәслихатының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Созақ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кемінде жылына төрт рет шақырылады және оны аудандық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Созақ аудандық мәслихатының 19.03.2015 </w:t>
      </w:r>
      <w:r>
        <w:rPr>
          <w:rFonts w:ascii="Times New Roman"/>
          <w:b w:val="false"/>
          <w:i w:val="false"/>
          <w:color w:val="ff0000"/>
          <w:sz w:val="28"/>
        </w:rPr>
        <w:t>№ 242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әкімнің ұсынысы бойынша аудандық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мәслихаттың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аудандық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аудан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мәслихат хатшысы, аудандық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сессияларына аудан әкімі,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аудандық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Аудандық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аудандық мәслихат өз құзыретінің мәселелері бойынша аудандық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ауданның әлеуметтік-экономикалық дамыту бағдарламаларының, олардың орындалуы туралы есептердің, ауданды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мерзімнен кешіктірмей тиісті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аудандық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аудандық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ауданды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аудандық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аудандық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аудандық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Аудандық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аудандық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аудандық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аудандық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Аудандық мәслихат депутатына өз міндеттерін орындамағаны және (немесе) тиісінше орындамағаны, сондай-ақ аудандық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Аудандық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Аудандық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Аудандық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