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f025" w14:textId="49af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2012 жылғы 15 маусымдағы № 6/40-V "Қазығұрт ауданы бойынша аз қамтамасыз етілген отбасыларға (азаматтарға) тұрғын үй көмегін көрсетудің мөлшері мен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2014 жылғы 24 ақпандағы № 28/184-V шешімі. Оңтүстік Қазақстан облысының Әділет департаментінде 2014 жылғы 14 наурызда № 2565 болып тіркелді. Күші жойылды - Оңтүстiк Қазақстан облысы Қазығұрт аудандық мәслихатының 2017 жылғы 7 сәуірдегі № 14/84-VI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Қазығұрт аудандық мәслихатының 07.04.2017 № 14/84-VI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2013 жылғы 3 желтоқсандағы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Қазығұрт аудандық мәслихатының 2012 жылғы 15 маусымдағы № 6/40-V "Қазығұрт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14-6-165 нөмірімен тіркелген, 2012 жылғы 5 шілдедегі "Қазығұрт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Қазығұрт ауданда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С.Батырбай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М.Момынов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