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972e" w14:textId="9fb9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2014 жылғы 4 сәуірдегі № 23/119 шешімі. Оңтүстік Қазақстан облысының Әділет департаментінде 2014 жылғы 24 сәуірде № 2627 болып тіркелді. Күші жойылды - Оңтүстік Қазақстан облысы Бәйдібек аудандық мәслихатының 2016 жылғы 30 маусымдағы № 5/30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Бәйдібек аудандық мәслихатының 30.06.2016 № 5/30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Бәйдібек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2014 жылғы 4 сәуірдегі</w:t>
            </w:r>
            <w:r>
              <w:br/>
            </w:r>
            <w:r>
              <w:rPr>
                <w:rFonts w:ascii="Times New Roman"/>
                <w:b w:val="false"/>
                <w:i w:val="false"/>
                <w:color w:val="000000"/>
                <w:sz w:val="20"/>
              </w:rPr>
              <w:t>№ 23/119 шешімімен бекітілген</w:t>
            </w:r>
          </w:p>
        </w:tc>
      </w:tr>
    </w:tbl>
    <w:bookmarkStart w:name="z5" w:id="0"/>
    <w:p>
      <w:pPr>
        <w:spacing w:after="0"/>
        <w:ind w:left="0"/>
        <w:jc w:val="left"/>
      </w:pPr>
      <w:r>
        <w:rPr>
          <w:rFonts w:ascii="Times New Roman"/>
          <w:b/>
          <w:i w:val="false"/>
          <w:color w:val="000000"/>
        </w:rPr>
        <w:t xml:space="preserve"> Бәйдібек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Бәйдібек аудандық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Бәйдібек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5"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аудандық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Бәйдібек аудандық мәслихатының 29.05.2015 </w:t>
      </w:r>
      <w:r>
        <w:rPr>
          <w:rFonts w:ascii="Times New Roman"/>
          <w:b w:val="false"/>
          <w:i w:val="false"/>
          <w:color w:val="ff0000"/>
          <w:sz w:val="28"/>
        </w:rPr>
        <w:t>№ 37/200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57"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w:t>
      </w:r>
      <w:r>
        <w:br/>
      </w: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3"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9"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