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fa26" w14:textId="595f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2014 жылғы 20 наурыздағы № 33/217-5с шешімі. Оңтүстік Қазақстан облысының Әділет департаментінде 2014 жылғы 21 сәуірде № 2613 болып тіркелді. Күші жойылды - Оңтүстiк Қазақстан облысы Шымкент қалалық мәслихатының 2017 жылғы 31 наурыздағы № 15/132-6с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31.03.2017 № 15/132-6с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Заңынын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Шымкент қалалық мәслихаттың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14-1-160 тіркелген, 2012 жылғы 11 мамырда "Шымкент келбеті"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шешімімен бекітілген Шымкент қаласы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келесі редакцияда жазылсын:</w:t>
      </w:r>
      <w:r>
        <w:br/>
      </w:r>
      <w:r>
        <w:rPr>
          <w:rFonts w:ascii="Times New Roman"/>
          <w:b w:val="false"/>
          <w:i w:val="false"/>
          <w:color w:val="000000"/>
          <w:sz w:val="28"/>
        </w:rPr>
        <w:t>
      "3) азаматтарды тіркеу кітабының көшірмесі не мекенжай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Д.Үсенов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