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d1f" w14:textId="154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2010 жылғы 1 қазандағы № 360-ІV "Атырау облысының елді мекендерінде жасыл желекті екпелер құру, күтіп ұстау және қорғау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10 сәуірдегі № 247-V шешімі. Атырау облысының Әділет департаментінде 2014 жылғы 28 сәуірде № 2898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шақырылған облыстық мәслихат кезекті 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2010 жылғы 1 қазандағы № 360-ІV "Атырау облысының елді мекендерінде жасыл желекті екпелер құру, күтіп ұстау және қорғау Ережесін бекіту туралы" (нормативтік құқықтық актілерді мемлекеттік тіркеу тізілімінде № 2574 санымен тіркелген, 2010 жылы 20 қарашада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елді мекендерінде жасыл желекті екпелер құру, күтіп ұстау және қорғау Ережесінде мемлекеттік тілдегі мәтінінде: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"Қалалар, кенттік және поселкелік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 округі",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"қаланы, кенттік және поселкелік округті",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округтерде",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кенттік және поселкелік округте",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кент және поселке" деген сөздер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"қалалар, ауылдық және кенттік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"қаланы, ауылдық және кенттік округті",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округтерде",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округте",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"қала, ауылдық және кенттік округтер"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өзгертілмейді.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экология, қоршаған ортаны қорғау, агроөнеркәсіп және ауыл шаруашылығы мәселелері жөніндегі тұрақты комиссиясына (Д. Құлжанов)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Жанбала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