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75cd" w14:textId="d857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Архангельск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26/3 шешімі. Солтүстік Қазақстан облысының Әділет департаментінде 2014 жылғы 22 мамырда N 2787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Архангельск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Архангельск ауылдық округінің жергілікті қоғамдастық жиындарына қатысатын ауылдар және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Байбосынов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26/3</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Архангельск ауылдық округінің бөлек жергілікті қоғамдастық жиынына қатысатын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және көшелер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және көшелердің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Архангельское ауылының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Архангельское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Архангельское ауылының Репейка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Архангельское ауылының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Новокаменка ауылының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Новокаменка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Новокаменка ауылының Үшінші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Новокаменка ауылының Чапаев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Новокаменка аулының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26/3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Архангельск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Архангельск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Архангельск ауылдық округі ауылдар және көшелер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Архангельск ауылдық округі аумағында ауылдар және көшелер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Архангельск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Архангельск ауылдық округі ауылдар және көшелер шегінде бөлек жиынды өткізуді Солтүстік Қазақстан облысы Қызылжар ауданы Архангельск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Архангельск ауылдық округі ауылдар және көшелердің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Солтүстік Қазақстан облысы Қызылжар ауданы  Архангельск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Архангельск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Архангельск ауылдық округі ауылдар және көшелер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Архангельск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