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d040" w14:textId="4ead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2015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25 желтоқсандағы № 32-2 шешімі. Солтүстік Қазақстан облысының Әділет департаментінде 2015 жылғы 16 қаңтарда N 3065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Солтустік Қазақстан облысы Ақжар аудан әкімімен айтылған қажеттіліктерді есепке ала отырып, Солтүстік Қазақстан облысы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2015 жылға берілсін: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 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бірінші ресми жарияланған күннен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Ақжар аудандық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А.Сұлтанова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Ақжар аудандық мәслихаттың</w:t>
            </w:r>
            <w:r>
              <w:br/>
            </w:r>
            <w:r>
              <w:rPr>
                <w:rFonts w:ascii="Times New Roman"/>
                <w:b w:val="false"/>
                <w:i w:val="false"/>
                <w:color w:val="000000"/>
                <w:sz w:val="20"/>
              </w:rPr>
              <w:t>
      </w:t>
            </w:r>
            <w:r>
              <w:rPr>
                <w:rFonts w:ascii="Times New Roman"/>
                <w:b w:val="false"/>
                <w:i/>
                <w:color w:val="000000"/>
                <w:sz w:val="20"/>
              </w:rPr>
              <w:t>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Жұмабаев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