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6830" w14:textId="7a66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Алексеевка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24 қыркүйектегі № 145/48 шешімі. Павлодар облысының Әділет департаментінде 2014 жылғы 08 қазанда № 4066 болып тіркелді. Күші жойылды - Павлодар облысы Шарбақты аудандық мәслихатының 2019 жылғы 19 маусымдағы № 196/58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19.06.2019 № 196/58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Шарбақты ауданы Алексеевка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Шарбақты ауданы Алексеевка ауылдық округінің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заңнама және әлеуметтік саясат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145/48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Алексеевка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Шарбақты ауданы Алексеевка ауылдық округінің ауылдары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сондай–ақ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Шарбақты ауданы Алексеевка ауылдық округінің аумағындағы ауылдары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 Алексеевка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Алексеевка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аумағында бөлек жиынды өткізуді Алексеевка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тұрғындарына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Шарбақты ауданы Алексеевка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Алексеевка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ауылдардың тұрғындары өкілдерінің кандидатураларын Шарбақты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ауылдардың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Алексеевка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