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e40c" w14:textId="cdce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2014 жылғы 19 маусымдағы № 207 шешімі. Қостанай облысының Әділет департаментінде 2014 жылғы 18 шілдеде № 4940 болып тіркелді. Күші жойылды - Қостанай облысы Алтынсарин ауданы мәслихатының 2016 жылғы 1 наурыздағы № 327 шешімімен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мәслихатының 01.03.2016 </w:t>
      </w:r>
      <w:r>
        <w:rPr>
          <w:rFonts w:ascii="Times New Roman"/>
          <w:b w:val="false"/>
          <w:i w:val="false"/>
          <w:color w:val="ff0000"/>
          <w:sz w:val="28"/>
        </w:rPr>
        <w:t>№ 327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саластырғанда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30.10.2015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Алтынсарин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"Алтынсарин ауданы </w:t>
      </w:r>
      <w:r>
        <w:br/>
      </w:r>
      <w:r>
        <w:rPr>
          <w:rFonts w:ascii="Times New Roman"/>
          <w:b w:val="false"/>
          <w:i w:val="false"/>
          <w:color w:val="000000"/>
          <w:sz w:val="28"/>
        </w:rPr>
        <w:t xml:space="preserve">
      әкімдігінің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_____________ Е. Павлюк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