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3f35" w14:textId="6563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12 қыркүйектегі № 318 шешімі. Қостанай облысының Әділет департаментінде 2014 жылғы 15 қазанда № 5117 болып тіркелді. Күші жойылды - Қостанай облысы Рудный қаласы мәслихатының 2021 жылғы 10 қыркүйектегі № 65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10.09.2021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11 шілдедегі "Кемтар балаларды әлеуметтiк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мүгедектер қатарындағы кемтар балаларды жеке оқыту жоспары бойынша үйде оқытуға жұмсаған шығындарын өндіріп алуды (бұдан әрі – оқытуға жұмсаған шығындарын өндіріп алу) "Рудный қалалық жұмыспен қамту және әлеуметтік бағдарламалар бөлімі" мемлекеттік мекемесі ай сайын алты айлық есептік көрсеткіш мөлшерінде жүргізеді;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мүгедектер қатарындағы кемтар балалардың ата-аналарына және өзге де заңды өкілдеріне (бұдан әрі – алушылар) беріледі;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мүгедектер қатарындағы әр кемтар балаға оқытуға жұмсаған шығындарын өндіріп алу тиісті оқу жылы ішінде жүргізіледі;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оқытуға жұмсаған шығындарын өндіріп алу мынадай мән-жайлар туындаған айдан кейінгі айдан бастап тоқтатылады: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және (немесе) баланың қайтыс болуы;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және (немесе) баланың Рудный қаласы әкімшілік аумағының шегінен тыс тұрақты тұруға кетуі;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баланың толық мемлекет қарауына берілуі;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жәрдемақының (жәрдемақылардың) заңсыз тағайындалуына әкеп соқтырған дәйексіз мәліметтер табыс етуі;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неке-отбасы заңнамасында белгіленген жағдайларда ата-аналарды ата-ана құқықтарынан айыру немесе құқықтарын шектеу, бала асырап алуды жарамсыз деп тану немесе оның күшін жою, қорғаншыларды (қамқоршыларды) өз міндеттерін атқарудан босату немесе шеттету.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артық төленген сомалар - ерікті түрде, ал бас тартқан жағдайда сот шешімінің негізінде сот тәртібімен қайтарылуға жатады.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 енгізілді - Қостанай облысы Рудный қаласы мәслихатының 28.04.2020 № 457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2013 жылғы 16 қазандағы № 206 "Мүгедектер қатарындағы кемтар балаларды үйде оқытуға жұмсаған шығындарды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4284 нөмірімен тіркелген, 2013 жылғы 12 қарашада "Рудненский рабочий" қалалық газетінде жарияланған) күші жойылды деп танылсын.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кезектен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Свинарева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Лощинин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