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1b51" w14:textId="9c61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2014 жылғы 9 сәуірдегі № 260 шешімі. Қостанай облысының Әділет департаментінде 2014 жылғы 13 мамырда № 4696 болып тіркелді. Күші жойылды - Қостанай облысы Рудный қаласы мәслихатының 2017 жылғы 2 мамырдағы № 119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02.05.2017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Рудный қалалық мәслихатының қоса берілген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w:t>
            </w:r>
            <w:r>
              <w:br/>
            </w:r>
            <w:r>
              <w:rPr>
                <w:rFonts w:ascii="Times New Roman"/>
                <w:b w:val="false"/>
                <w:i/>
                <w:color w:val="000000"/>
                <w:sz w:val="20"/>
              </w:rPr>
              <w:t>төрағасы, қалалық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2014 жылғы 9 сәуірдегі</w:t>
            </w:r>
            <w:r>
              <w:br/>
            </w:r>
            <w:r>
              <w:rPr>
                <w:rFonts w:ascii="Times New Roman"/>
                <w:b w:val="false"/>
                <w:i w:val="false"/>
                <w:color w:val="000000"/>
                <w:sz w:val="20"/>
              </w:rPr>
              <w:t>№ 260 шешімімен бекітілген</w:t>
            </w:r>
          </w:p>
        </w:tc>
      </w:tr>
    </w:tbl>
    <w:bookmarkStart w:name="z5" w:id="0"/>
    <w:p>
      <w:pPr>
        <w:spacing w:after="0"/>
        <w:ind w:left="0"/>
        <w:jc w:val="left"/>
      </w:pPr>
      <w:r>
        <w:rPr>
          <w:rFonts w:ascii="Times New Roman"/>
          <w:b/>
          <w:i w:val="false"/>
          <w:color w:val="000000"/>
        </w:rPr>
        <w:t xml:space="preserve"> Рудный қалалық мәслихатының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Рудный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Рудный қалалық мәслихатының (бұдан әрі –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өкілеттігін жүзеге асыру уақытында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Рудный қаласының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қала, ауыл, кенттердің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Рудный қаласы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Рудный қаласы бюджетінің жобасы бойынша ұсыныстар әзірлейді және оларды ұсыныстарды жинау мен Рудный қаласы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Рудный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Рудный қаласының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Рудный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жергілікті бюджеттің, аумақты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Рудный қаласының әкімі ұсынған жоспарлардың, аумақты экономикалық және әлеуметтік дамыту бағдарламаларының,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кент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Сауалдың көшірмесін бағытталған органға немесе лауазымды адамға мәслихаттың хатшысы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екі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1999 жылғы 15 наурыздағы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Мәслихаттағы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бiрiктiруге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осы регламентте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ұйымдастыру-құқықтық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