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36e7" w14:textId="4cb3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26 қарашадағы № 595 қаулысы. Қостанай облысының Әділет департаментінде 2014 жылғы 29 желтоқсанда № 5262 болып тіркелді. Күші жойылды - Қостанай облысы әкімдігінің 2015 жылғы 24 сәуірдегі № 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24.04.2015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және өзiн-өзi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көрсетiлетiн қызметтер туралы" 2013 жылғы 15 сәуірдегі Қазақстан Республикасы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ұсыну" мемлекеттiк көрсетiлетiн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2009 жылғы 3 наурыздағы № 71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мемлекеттiк көрсетiлетiн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4535 болып тіркелген, 2014 жылғы 16 сәуірде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қарашадағы № 595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мекендерге жұмыс істеуге</w:t>
      </w:r>
      <w:r>
        <w:br/>
      </w:r>
      <w:r>
        <w:rPr>
          <w:rFonts w:ascii="Times New Roman"/>
          <w:b/>
          <w:i w:val="false"/>
          <w:color w:val="000000"/>
        </w:rPr>
        <w:t>
және тұруға келген денсаулық сақтау, білім беру,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қамсыздандыру, мәдениет, спорт және агроөнеркәсіптік</w:t>
      </w:r>
      <w:r>
        <w:br/>
      </w:r>
      <w:r>
        <w:rPr>
          <w:rFonts w:ascii="Times New Roman"/>
          <w:b/>
          <w:i w:val="false"/>
          <w:color w:val="000000"/>
        </w:rPr>
        <w:t>
кешен мамандарына әлеуметтік қолдау шараларын ұсыну"</w:t>
      </w:r>
      <w:r>
        <w:br/>
      </w:r>
      <w:r>
        <w:rPr>
          <w:rFonts w:ascii="Times New Roman"/>
          <w:b/>
          <w:i w:val="false"/>
          <w:color w:val="000000"/>
        </w:rPr>
        <w:t>
мемлекеттiк көрсетiлетiн қызмет регламентi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ұсыну" мемлекеттік көрсетілетін қызметін (бұдан әрі – мемлекеттік көрсетілетін қызмет) ауылдық аумақтарды дамыту жөнiндегi аудандық (облыстық маңызы бар қаланың) уәкiлеттi органдар (бұдан әрi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алу үшін өтінімдерді қабылдау және нәтижелерін беруді көрсетілетін қызметті берушінің кеңсесі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көтерме жәрдемақы түріндегі әлеуметтік қолдау шаралары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көрсетiлетiн қызмет нәтижесін ұсыну нысаны - қағаз түрiнде.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процесiнде</w:t>
      </w:r>
      <w:r>
        <w:br/>
      </w:r>
      <w:r>
        <w:rPr>
          <w:rFonts w:ascii="Times New Roman"/>
          <w:b/>
          <w:i w:val="false"/>
          <w:color w:val="000000"/>
        </w:rPr>
        <w:t>
көрсетiлетiн қызметтi берушiнiң құрылымдық бөлiмшелерiнiң</w:t>
      </w:r>
      <w:r>
        <w:br/>
      </w:r>
      <w:r>
        <w:rPr>
          <w:rFonts w:ascii="Times New Roman"/>
          <w:b/>
          <w:i w:val="false"/>
          <w:color w:val="000000"/>
        </w:rPr>
        <w:t>
(қызметкерлерiнiң) iс-қимыл тәртiбiн сипаттау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қызметтi көрсету бойынша рәсiмдi (іс-қимылды) бастауға негiздеме Қазақстан Республикасы Үкіметінің 2014 жылғы 12 ақпандағы № 80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ұсыну"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Стандарт)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қоса бере отырып өтiнiш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процесiнiң құрамына кiретiн әрбiр рәсiмнiң (iс-қимылдың)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көрсетiлетiн қызметтi берушiнің кеңсесі құжаттарды қабылдауды және тіркеуді жүзеге асырады, көрсетiлетiн қызметтi алушыға құжаттарды тапсырғанын растайтын өтініштің үзбелі бөлігін береді,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ұсынылған құжаттардың дұрыстығын тексереді, қаржы қаражатының қажеттілігін есептеуді жүргізеді – 30 (отыз)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қызметтi берушiнің басшысы көрсетiлетiн қызметтi берушiнiң жауапты орындаушысын анықтайды, тиiстi бұрыштама қояды – 2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көрсетiлетiн қызметтi берушi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көрсетiлетiн қызметтi берушiнiң жауапты орындаушысы құжаттарды зерделейді, мемлекеттiк көрсетiлетiн қызмет нәтижесінің жобасын әзірлейді – 32 (отыз екі)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мемлекеттiк көрсетiлетiн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көрсетiлетiн қызметтi берушiнің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көтерме жәрдемақы сомасын 7 (жеті) күнтізбелік күн ішінде көрсетiлетiн қызметтi алушылардың жеке есеп шоттарына аударады;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 білдірілген өкіл (агент) 30 (отыз) жұмыс күні ішінде көрсетiлетiн қызметтi алушыға тұрғын үй сатып алуға немесе салуға бюджеттік кредит беру бойынша шаралар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көрсетiлетiн қызметтi алушыға мемлекеттiк көрсетiлетiн қызмет нәтижелерін беру.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 көрсетiлетiн</w:t>
      </w:r>
      <w:r>
        <w:br/>
      </w:r>
      <w:r>
        <w:rPr>
          <w:rFonts w:ascii="Times New Roman"/>
          <w:b/>
          <w:i w:val="false"/>
          <w:color w:val="000000"/>
        </w:rPr>
        <w:t>
қызметтi берушiнiң құрылымдық бөлiмшелерiнiң (қызметкерлерiнiң)</w:t>
      </w:r>
      <w:r>
        <w:br/>
      </w:r>
      <w:r>
        <w:rPr>
          <w:rFonts w:ascii="Times New Roman"/>
          <w:b/>
          <w:i w:val="false"/>
          <w:color w:val="000000"/>
        </w:rPr>
        <w:t>
өзара iс-қимыл тәртiбiн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процесiне қатысатын көрсетілетін қызметті берушiнiң құрылымдық бөлiмшелерiнiң (қызметкерлерiнiң)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көрсетiлетiн қызметтi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қызметтi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көрсетiлетiн қызметтi берушiнiң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көрсетiлетiн қызметтi берушiнің кеңсесі құжаттарды қабылдауды және тіркеуді жүзеге асырады, көрсетiлетiн қызметтi алушыға құжаттарды тапсырғанын растайтын өтініштің үзбелі бөлігін береді,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ұсынылған құжаттардың дұрыстығын тексереді және құжаттарды бұрыштама қою үшін көрсетiлетiн қызметтi берушiнің басшысына береді – 30 (отыз)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қызметтi берушiнің басшысы көрсетiлетiн қызметтi берушiнiң жауапты орындаушысын анықтайды, тиiстi бұрыштамасын қояды және құжаттарды көрсетiлетiн қызметтi берушiнiң жауапты орындаушысына береді – 2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көрсетiлетiн қызметтi берушiнiң жауапты орындаушысы құжаттарды зерделегеннен кейін мемлекеттiк көрсетiлетiн қызмет көрсету нәтижесінің жобасын әзірлейді, оны көрсетiлетiн қызметтi берушiнiң басшысына береді – 32 (отыз екі) күнтізбелік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көрсетiлетiн қызметтi берушiнің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көтерме жәрдемақы сомасын 7 (жеті) күнтізбелік күн ішінде көрсетiлетiн қызметтi алушылардың жеке есеп шоттарына аударады;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 білдірілген өкіл (агент) 30 (отыз) жұмыс күні ішінде көрсетiлетiн қызметтi алушыға тұрғын үй сатып алуға немесе салуға бюджеттік кредит беру бойынша шаралар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Көрсетiлетiн қызметтi берушiнің басшысы көрсетiлетiн қызметтi алушыға мемлекеттiк көрсетiлетiн қызмет нәтижелерін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іс-қимылдың (рәсімнің) өту блок-схемасы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көрсетiлетiн қызметтi берушiлермен</w:t>
      </w:r>
      <w:r>
        <w:br/>
      </w:r>
      <w:r>
        <w:rPr>
          <w:rFonts w:ascii="Times New Roman"/>
          <w:b/>
          <w:i w:val="false"/>
          <w:color w:val="000000"/>
        </w:rPr>
        <w:t>
өзара iс-қимыл жасасу тәртiбiн, сондай-ақ мемлекеттiк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процесiнде ақпараттық жүйелердi</w:t>
      </w:r>
      <w:r>
        <w:br/>
      </w:r>
      <w:r>
        <w:rPr>
          <w:rFonts w:ascii="Times New Roman"/>
          <w:b/>
          <w:i w:val="false"/>
          <w:color w:val="000000"/>
        </w:rPr>
        <w:t>
пайдалану тәртiбiн сипаттау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Қостанай облысы бойынша "Халыққа қызмет көрсету орталығы" шаруашылық жүргізу құқығындағы республикалық мемлекеттік мекемесі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көрсету процесiнде көрсетiлетiн қызметтi берушiнің құрылымдық бөлiмшелерi (қызметкерлерi) iс-қимылдарының және мемлекеттiк қызмет көрсету процесiнде көрсетiлетiн қызметтi берушiнің құрылымдық бөлiмшелерiнiң (қызметкерлерiнiң) өзара iс-қимылдар реттiлігінің сипаттамасы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қызмет көрсетудiң бизнес-процестерiнiң анықтамалығында көрсетiледi.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"Ауылдық елді мекендерге жұмыс істеуге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тұруға келген денсаулық сақтау, білім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беру, әлеуметтік қамсыздандыру, мәдениет,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 және агроөнеркәсіптік кешен мамандарына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қолдау шараларын ұсыну"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көрсетiлетiн қызмет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
әрбір іс-қимылдың (рәсімнің) өту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"Ауылдық елді мекендерге жұмыс істеуге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тұруға келген денсаулық сақтау, білім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беру, әлеуметтік қамсыздандыру, мәдениет,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 және агроөнеркәсіптік кешен мамандарына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қолдау шараларын ұсыну"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көрсетiлетiн қызмет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"Ауылдық елді мекендерге жұмыс істеуге</w:t>
      </w:r>
      <w:r>
        <w:br/>
      </w:r>
      <w:r>
        <w:rPr>
          <w:rFonts w:ascii="Times New Roman"/>
          <w:b/>
          <w:i w:val="false"/>
          <w:color w:val="000000"/>
        </w:rPr>
        <w:t>
және тұруға келген денсаулық сақтау, білім беру,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қамсыздандыру, мәдениет, спорт және</w:t>
      </w:r>
      <w:r>
        <w:br/>
      </w:r>
      <w:r>
        <w:rPr>
          <w:rFonts w:ascii="Times New Roman"/>
          <w:b/>
          <w:i w:val="false"/>
          <w:color w:val="000000"/>
        </w:rPr>
        <w:t>
агроөнеркәсіптік кешен мамандарына әлеуметтік</w:t>
      </w:r>
      <w:r>
        <w:br/>
      </w:r>
      <w:r>
        <w:rPr>
          <w:rFonts w:ascii="Times New Roman"/>
          <w:b/>
          <w:i w:val="false"/>
          <w:color w:val="000000"/>
        </w:rPr>
        <w:t>
қолдау шараларын ұсыну"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620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6200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