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1690" w14:textId="7f61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"Моноқалаларды дамытудың 2012-2020 жылдарға арналған бағдарламасы" шеңберінде микрокредиттер беру" мемлекеттік көрсетілетін қызмет регламентiн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29 қазандағы № 530 қаулысы. Қостанай облысының Әділет департаментінде 2014 жылғы 5 желтоқсанда № 5207 болып тіркелді. Күші жойылды - Қостанай облысы әкімдігінің 2015 жылғы 26 қаңтардағы № 25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26.01.2015 № 25 қаулысымен.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"Моноқалаларды дамытудың 2012-2020 жылдарға арналған бағдарламасы" шеңберінде микрокредиттер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29 қазандағы    </w:t>
      </w:r>
      <w:r>
        <w:br/>
      </w:r>
      <w:r>
        <w:rPr>
          <w:rFonts w:ascii="Times New Roman"/>
          <w:b w:val="false"/>
          <w:i w:val="false"/>
          <w:color w:val="000000"/>
          <w:sz w:val="28"/>
        </w:rPr>
        <w:t xml:space="preserve">
№ 530 қаулысымен бекітілген  </w:t>
      </w:r>
    </w:p>
    <w:bookmarkEnd w:id="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микрокредиттер беру" мемлекеттік көрсетілетін қызмет регламентi</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микрокредиттер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әлеуметтік шарт болып табылады.</w:t>
      </w:r>
      <w:r>
        <w:br/>
      </w:r>
      <w:r>
        <w:rPr>
          <w:rFonts w:ascii="Times New Roman"/>
          <w:b w:val="false"/>
          <w:i w:val="false"/>
          <w:color w:val="000000"/>
          <w:sz w:val="28"/>
        </w:rPr>
        <w:t>
      Мемлекеттік көрсетілетін қызметтің нәтижесін ұсыну нысаны: қағаз түрінде.</w:t>
      </w:r>
    </w:p>
    <w:bookmarkEnd w:id="4"/>
    <w:bookmarkStart w:name="z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9"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бағдарламасы" шеңберінде микрокредиттер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беруі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береді, 2 сағат ішінде.</w:t>
      </w:r>
      <w:r>
        <w:br/>
      </w:r>
      <w:r>
        <w:rPr>
          <w:rFonts w:ascii="Times New Roman"/>
          <w:b w:val="false"/>
          <w:i w:val="false"/>
          <w:color w:val="000000"/>
          <w:sz w:val="28"/>
        </w:rPr>
        <w:t>
      Рәсімнің нәтижесі – құжаттарды тіркеу;</w:t>
      </w:r>
      <w:r>
        <w:br/>
      </w:r>
      <w:r>
        <w:rPr>
          <w:rFonts w:ascii="Times New Roman"/>
          <w:b w:val="false"/>
          <w:i w:val="false"/>
          <w:color w:val="000000"/>
          <w:sz w:val="28"/>
        </w:rPr>
        <w:t>
      2) көрсетілетін қызметті берушінің басшысы жауапты орындаушыны белгілейді, 1 күнтізбелік күн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құжаттарды қарайды және мемлекеттік қызмет көрсету нәтижесінің жобасын дайындайды, 12 күнтізбелік күн ішінде.</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күнтізбелік күн ішінде.</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20 минуттан аспайды.</w:t>
      </w:r>
      <w:r>
        <w:br/>
      </w:r>
      <w:r>
        <w:rPr>
          <w:rFonts w:ascii="Times New Roman"/>
          <w:b w:val="false"/>
          <w:i w:val="false"/>
          <w:color w:val="000000"/>
          <w:sz w:val="28"/>
        </w:rPr>
        <w:t>
      Рәсімнің нәтижесі – берілген мемлекеттік қызмет көрсету нәтижесі.</w:t>
      </w:r>
    </w:p>
    <w:bookmarkEnd w:id="6"/>
    <w:bookmarkStart w:name="z1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2"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белгілеу үшін беру жүзеге асырылады, 2 сағат ішінде;</w:t>
      </w:r>
      <w:r>
        <w:br/>
      </w:r>
      <w:r>
        <w:rPr>
          <w:rFonts w:ascii="Times New Roman"/>
          <w:b w:val="false"/>
          <w:i w:val="false"/>
          <w:color w:val="000000"/>
          <w:sz w:val="28"/>
        </w:rPr>
        <w:t>
      2) көрсетілетін қызметті берушінің басшысы жауапты орындаушыны белгілейді, құжаттар жауапты орындаушыға беріледі, 1 күнтізбелік күн ішінде;</w:t>
      </w:r>
      <w:r>
        <w:br/>
      </w:r>
      <w:r>
        <w:rPr>
          <w:rFonts w:ascii="Times New Roman"/>
          <w:b w:val="false"/>
          <w:i w:val="false"/>
          <w:color w:val="000000"/>
          <w:sz w:val="28"/>
        </w:rPr>
        <w:t>
      3) көрсетілетін қызметті берушінің жауапты орындаушысы құжаттарды қарайды және мемлекеттік қызмет көрсету нәтижесінің жобасын дайындайды, 12 күнтізбелік күн ішінде;</w:t>
      </w:r>
      <w:r>
        <w:br/>
      </w:r>
      <w:r>
        <w:rPr>
          <w:rFonts w:ascii="Times New Roman"/>
          <w:b w:val="false"/>
          <w:i w:val="false"/>
          <w:color w:val="000000"/>
          <w:sz w:val="28"/>
        </w:rPr>
        <w:t>
      4) көрсетілетін қызметті берушінің басшысы көрсетілетін қызметті берушінің жауапты орындаушысына жіберілетін мемлекеттік қызмет көрсету нәтижесінің жобасына қол қояды, 1 күнтізбелік күн ішінде;</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20 минуттан аспайды.</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14"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
    <w:bookmarkStart w:name="z15" w:id="10"/>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және www.egov.kz "электрондық үкімет" веб-порталы арқылы көрсетілмейді.</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16" w:id="11"/>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шеңберінде микрокредиттер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1-қосымшасы  </w:t>
      </w:r>
    </w:p>
    <w:bookmarkEnd w:id="1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w:t>
      </w:r>
    </w:p>
    <w:p>
      <w:pPr>
        <w:spacing w:after="0"/>
        <w:ind w:left="0"/>
        <w:jc w:val="both"/>
      </w:pPr>
      <w:r>
        <w:drawing>
          <wp:inline distT="0" distB="0" distL="0" distR="0">
            <wp:extent cx="7620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073400"/>
                    </a:xfrm>
                    <a:prstGeom prst="rect">
                      <a:avLst/>
                    </a:prstGeom>
                  </pic:spPr>
                </pic:pic>
              </a:graphicData>
            </a:graphic>
          </wp:inline>
        </w:drawing>
      </w:r>
    </w:p>
    <w:bookmarkStart w:name="z17" w:id="12"/>
    <w:p>
      <w:pPr>
        <w:spacing w:after="0"/>
        <w:ind w:left="0"/>
        <w:jc w:val="both"/>
      </w:pPr>
      <w:r>
        <w:rPr>
          <w:rFonts w:ascii="Times New Roman"/>
          <w:b w:val="false"/>
          <w:i w:val="false"/>
          <w:color w:val="000000"/>
          <w:sz w:val="28"/>
        </w:rPr>
        <w:t xml:space="preserve">
"Моноқалаларды дамытудың 2012–2020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шеңберінде микрокредиттер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регламентiнің 2-қосымшасы  </w:t>
      </w:r>
    </w:p>
    <w:bookmarkEnd w:id="1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микрокредиттер беру" мемлекеттік қызмет көрсетудің бизнес-процестерінің анықтамалығы</w:t>
      </w:r>
    </w:p>
    <w:p>
      <w:pPr>
        <w:spacing w:after="0"/>
        <w:ind w:left="0"/>
        <w:jc w:val="both"/>
      </w:pPr>
      <w:r>
        <w:drawing>
          <wp:inline distT="0" distB="0" distL="0" distR="0">
            <wp:extent cx="7620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2959100"/>
                    </a:xfrm>
                    <a:prstGeom prst="rect">
                      <a:avLst/>
                    </a:prstGeom>
                  </pic:spPr>
                </pic:pic>
              </a:graphicData>
            </a:graphic>
          </wp:inline>
        </w:drawing>
      </w:r>
    </w:p>
    <w:p>
      <w:pPr>
        <w:spacing w:after="0"/>
        <w:ind w:left="0"/>
        <w:jc w:val="both"/>
      </w:pPr>
      <w:r>
        <w:drawing>
          <wp:inline distT="0" distB="0" distL="0" distR="0">
            <wp:extent cx="7620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53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