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425" w14:textId="811a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даярлау бойынша Жұмыспен қамту 2020 жол картасының шегінде кәсіптік оқытуға 2014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15 қыркүйектегі № 453 қаулысы. Қостанай облысының Әділет департаментінде 2014 жылғы 9 қазанда № 5110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Жұмыспен қамтудың жол картасы) іске асыру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кәсіптік даярлау бойынша 2014 жылға арналған Жұмыспен қамту 2020 жол картасына қатысушыларды </w:t>
      </w:r>
      <w:r>
        <w:rPr>
          <w:rFonts w:ascii="Times New Roman"/>
          <w:b w:val="false"/>
          <w:i w:val="false"/>
          <w:color w:val="000000"/>
          <w:sz w:val="28"/>
        </w:rPr>
        <w:t>кәсіптік оқытуға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маусымнан бастап туындайтын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даярлау бойынша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Жұмыспен қамту 2020 жол картасына қатысушыларды кәсіптік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700"/>
        <w:gridCol w:w="4298"/>
        <w:gridCol w:w="1548"/>
        <w:gridCol w:w="1315"/>
      </w:tblGrid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жұмыстарының шебері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3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