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db73" w14:textId="904d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коммуналдық мүлікті мүліктік жалдауға (жалға алуға) беру кезінде жалдау ақысының мөлшерлемесін есептеуді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4 мамырдағы № 191 қаулысы. Қостанай облысының Әділет департаментінде 2014 жылғы 28 мамырда № 4773 болып тіркелді. Күші жойылды - Қостанай облысы әкімдігінің 2014 жылғы 5 тамыздағы № 390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әкімдігінің 05.08.2014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облыстық коммуналдық мүлікті мүліктік жалдауға (жалға алуға) беру кезінде </w:t>
      </w:r>
      <w:r>
        <w:rPr>
          <w:rFonts w:ascii="Times New Roman"/>
          <w:b w:val="false"/>
          <w:i w:val="false"/>
          <w:color w:val="000000"/>
          <w:sz w:val="28"/>
        </w:rPr>
        <w:t>жалдау ақысының мөлшерлемесін есептеу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Н. Садуақасов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4 мамырдағы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191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коммуналдық мүлікті мүліктік жалдауға (жалға алуға) беру кезінде жалдау ақысының</w:t>
      </w:r>
      <w:r>
        <w:br/>
      </w:r>
      <w:r>
        <w:rPr>
          <w:rFonts w:ascii="Times New Roman"/>
          <w:b/>
          <w:i w:val="false"/>
          <w:color w:val="000000"/>
        </w:rPr>
        <w:t>
мөлшерлемесін есептеу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объектiнiң Қостанай қаласында орналасқан жерiн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4"/>
        <w:gridCol w:w="1134"/>
      </w:tblGrid>
      <w:tr>
        <w:trPr>
          <w:trHeight w:val="30" w:hRule="atLeast"/>
        </w:trPr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қаласы, Лисаков қаласы, Рудный қаласы, Арқалық қаласы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</w:tr>
      <w:tr>
        <w:trPr>
          <w:trHeight w:val="30" w:hRule="atLeast"/>
        </w:trPr>
        <w:tc>
          <w:tcPr>
            <w:tcW w:w="9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аудандары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Объектiнiң Қостанай қаласында орналасқан жерiн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3"/>
        <w:gridCol w:w="445"/>
      </w:tblGrid>
      <w:tr>
        <w:trPr>
          <w:trHeight w:val="30" w:hRule="atLeast"/>
        </w:trPr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Қостанай қаласында орналасқан жерi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Қайырбеков-Темiрбаев (вокзал маңы аумағын қосқанда), Павлов-Шевченко көшелерiнiң шекарасында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басқа аудандары (қаласының құрамды бөліктеріне қоспағанда)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10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құрамды бөліктеріне (Амангелдi, Геофизик, Дружба, Қонай, Жылы жай, Ударник тұрғын үй алабы)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0"/>
        <w:gridCol w:w="1088"/>
      </w:tblGrid>
      <w:tr>
        <w:trPr>
          <w:trHeight w:val="210" w:hRule="atLeast"/>
        </w:trPr>
        <w:tc>
          <w:tcPr>
            <w:tcW w:w="10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0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10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10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құралдарын және басқа пайдаланылмайтын заттарды мүлiктiк жалдау (жалға алу) үшiн жалдау ақысының мөлшерлемесi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коммуналдық заңды тұлғалардың балансындағы мемлекеттік тұрғын емес қор үшiн: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объектiнiң Қостанай қаласында орналасқан жерiн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пайдаланылмайтын заттар үшiн: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негiзгi құрал-жабдықтарды (ғимараттардан басқа) жалдауға (жалға алуға) алу үшiн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