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b3b" w14:textId="8ab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ауданында мүгедектер үшін жұмыс орындарының квотасын бекіту туралы" Маңғыстау ауданы әкімдігінің 2013 жылғы 21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2014 жылғы 31 наурыздағы № 85 қаулысы. Маңғыстау облысының Әділет департаментінде 2014 жылғы 31 наурызда № 2378 болып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сәйкес, Маңғыстау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"Маңғыстау ауданында мүгедектер үшін жұмыс орындарының квотасын бекіту туралы" Маңғыстау ауданы әкімдігінің 2013 жылғы 21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2013 жылы 6 ақпанда № 2215 болып тіркелген, аудандық "Жаңа өмір" газетінде 2013 жылы 13 ақпанда № 8 болып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"5-2) тармағына" деген сөздер "5-2) тармақшасына" деген сөздермен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"Маңғыстау аудандық жұмыспен қамту және әлеуметтік бағдарламалар бөлімі" мемлекеттік мекемесі қаулының Маңғыстау облысының әділет департаментінде мемлекеттік тіркелуін, бұқаралық ақпарат құралдарында және "Әділет" ақпараттық-құқықтық жүйесінде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аудан әкімінің орынбасары Е.Махмутовқа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Каимова Сәнімгүл Нақыпқызы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31.03.2014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