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83ef" w14:textId="7ba8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29 шілдедегі № 40/02 қаулысы. Қарағанды облысының Әділет департаментінде 2014 жылғы 22 тамызда № 2725 болып тіркелді. Күші жойылды - Қарағанды облысының әкімдігінің 2015 жылғы 2 қыркүйектегі № 50/01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02.09.2015 № 50/01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Қазақстан Республикасы Үкіметінің 2014 жылғы 28 ақпандағы № 160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w:t>
      </w:r>
      <w:r>
        <w:rPr>
          <w:rFonts w:ascii="Times New Roman"/>
          <w:b w:val="false"/>
          <w:i w:val="false"/>
          <w:color w:val="000000"/>
          <w:sz w:val="28"/>
        </w:rPr>
        <w:t>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2012 жылғы 28 желтоқсандағы № 66/01 "Электрондық мемлекеттік қызмет регламенттерін бекіту туралы" қаулысының 1-тармағының </w:t>
      </w:r>
      <w:r>
        <w:rPr>
          <w:rFonts w:ascii="Times New Roman"/>
          <w:b w:val="false"/>
          <w:i w:val="false"/>
          <w:color w:val="000000"/>
          <w:sz w:val="28"/>
        </w:rPr>
        <w:t>1-тармағының 1) тармақшасының</w:t>
      </w:r>
      <w:r>
        <w:rPr>
          <w:rFonts w:ascii="Times New Roman"/>
          <w:b w:val="false"/>
          <w:i w:val="false"/>
          <w:color w:val="000000"/>
          <w:sz w:val="28"/>
        </w:rPr>
        <w:t xml:space="preserve"> (Нормативтік құқықтық актілерді мемлекеттік тіркеу тізілімінде № 2143 болып тіркелген, 2013 жылдың 9 ақпанындағы № 15-16 (21348-21349) "Индустриальная Караганда" газетінде және 2013 жылдың 9 ақпанындағы № 20-21-22 (21445) "Орталық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Әбдібеков</w:t>
      </w:r>
    </w:p>
    <w:bookmarkStart w:name="z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29 шілдедегі</w:t>
      </w:r>
      <w:r>
        <w:br/>
      </w:r>
      <w:r>
        <w:rPr>
          <w:rFonts w:ascii="Times New Roman"/>
          <w:b w:val="false"/>
          <w:i w:val="false"/>
          <w:color w:val="000000"/>
          <w:sz w:val="28"/>
        </w:rPr>
        <w:t>
№ 40/02 қаулысымен бекітілді</w:t>
      </w:r>
    </w:p>
    <w:bookmarkEnd w:id="1"/>
    <w:bookmarkStart w:name="z7" w:id="2"/>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(бұдан әрі – мемлекеттік қызмет) облыс әкімдігінің өкілетті органы – "Қарағанды облысының ауыл шаруашылығы басқармасы" мемлекеттік мекемесімен (бұдан әрi – көрсетілетін қызметті беруші), оның ішінде, қызмет алушының электрондық цифрлық қолтаңбасы (бұдан әрі – ЭЦҚ) болған жағдайда, "электрондық үкіметтің" www.egov.kz веб-порталы (бұдан әрі – ЭҮП) арқылы көрсетіледі.</w:t>
      </w:r>
      <w:r>
        <w:br/>
      </w:r>
      <w:r>
        <w:rPr>
          <w:rFonts w:ascii="Times New Roman"/>
          <w:b w:val="false"/>
          <w:i w:val="false"/>
          <w:color w:val="000000"/>
          <w:sz w:val="28"/>
        </w:rPr>
        <w:t xml:space="preserve">
      Өтінішті қабылдау және көрсетiлетiн мемлекеттiк қызметтiң нәтижесі көрсетiлетiн қызметті беруші және ЭҮП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астық қолхаттарын беру арқылы қойма қызметі бойынша қызметтер көрсетуге лицензия (бұдан әрі – лицензия), қайта ресімдеу, лицензияның телнұсқасы немесе Қазақстан Республикасы Үкіметінің 2014 жылғы 28 ақпандағы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 160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бас тарту туралы дәлелді жауап. </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4"/>
    <w:bookmarkStart w:name="z12" w:id="5"/>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iс-қимыл тәртiбiн сипаттау</w:t>
      </w:r>
    </w:p>
    <w:bookmarkEnd w:id="5"/>
    <w:bookmarkStart w:name="z13" w:id="6"/>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ЭҮП арқылы ЭЦҚ куәландырылған электрондық құжат нысанында сұрау салу;</w:t>
      </w:r>
      <w:r>
        <w:br/>
      </w:r>
      <w:r>
        <w:rPr>
          <w:rFonts w:ascii="Times New Roman"/>
          <w:b w:val="false"/>
          <w:i w:val="false"/>
          <w:color w:val="000000"/>
          <w:sz w:val="28"/>
        </w:rPr>
        <w:t>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берушіге үндеу кезінде нысан бойынша өтініш беру мемлекеттiк қызмет көрсету жөніндегі рәсімді бастау үшін негіздемелер болып табылады.</w:t>
      </w:r>
      <w:r>
        <w:br/>
      </w:r>
      <w:r>
        <w:rPr>
          <w:rFonts w:ascii="Times New Roman"/>
          <w:b w:val="false"/>
          <w:i w:val="false"/>
          <w:color w:val="000000"/>
          <w:sz w:val="28"/>
        </w:rPr>
        <w:t>
</w:t>
      </w:r>
      <w:r>
        <w:rPr>
          <w:rFonts w:ascii="Times New Roman"/>
          <w:b w:val="false"/>
          <w:i w:val="false"/>
          <w:color w:val="000000"/>
          <w:sz w:val="28"/>
        </w:rPr>
        <w:t>
      5. Мемлекеттiк көрсетілетін қызмет көрсету үдерісінiң құрамына кiретiн әрбiр рәсiмнiң (iс-қимылдың) мазмұны.</w:t>
      </w:r>
      <w:r>
        <w:br/>
      </w:r>
      <w:r>
        <w:rPr>
          <w:rFonts w:ascii="Times New Roman"/>
          <w:b w:val="false"/>
          <w:i w:val="false"/>
          <w:color w:val="000000"/>
          <w:sz w:val="28"/>
        </w:rPr>
        <w:t>
      Лицензия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қабылдауды және оларды тіркеуді жүзеге асырады. Нәтижесі – көрсетілетін қызметті беруші басшылығына құжатқа бұрыштама қоюға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 (бір) жұмыс күні ішінде келіп түскен құжаттармен танысады және көрсетілетін қызмет берушінің жауапты орындаушысын белгілейді. Нәтижесі – құжаттарды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2 (екі) жұмыс күні ішінде түскен құжаттарды қарайды, көрсетілетін қызметті алушыға лицензия жобасын немесе мемлекеттік қызметті көрсетуден бас тарту туралы дәлелді жауап дайындайды. Нәтижесі – санитариялық-эпидемиологиялық салауаттылық саласындағы мемлекеттік органға (бұдан әрі – мүдделі орган) сұраныс жолдайды;</w:t>
      </w:r>
      <w:r>
        <w:br/>
      </w:r>
      <w:r>
        <w:rPr>
          <w:rFonts w:ascii="Times New Roman"/>
          <w:b w:val="false"/>
          <w:i w:val="false"/>
          <w:color w:val="000000"/>
          <w:sz w:val="28"/>
        </w:rPr>
        <w:t>
</w:t>
      </w:r>
      <w:r>
        <w:rPr>
          <w:rFonts w:ascii="Times New Roman"/>
          <w:b w:val="false"/>
          <w:i w:val="false"/>
          <w:color w:val="000000"/>
          <w:sz w:val="28"/>
        </w:rPr>
        <w:t>
      4) мүдделі орган 5 (бес) жұмыс күні ішінде түскен құжаттарды қарайды, лицензия беруге келісім немесе дәлелді жауап береді. Нәтижесі – көрсетілетін қызметті алушының қойлған талаптарға сәйкестігі немесе сәйкес еместігін анықтайды, мемлекеттік қызметті көрсету үшін жауапты орындаушыға қорытынды 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1 (бір) жұмыс күні ішінде мүдделі органдардан келіп түскен қорытындыны қарайды, лицензияны немесе дәлелді жауапты ресімдейді. Нәтижесі – ресімделген лицензияға немесе дәлелді жауапқа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басшылығы 1 (бір) жұмыс күні ішінде лицензияға немесе дәлелді жауапқа қол қояды. Нәтижесі – қол қойылған лицензияны немесе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маманы 30 (отыз) минуттың ішінде көрсетілетін қызметті алушыға лицензия немесе дәлелді жауап береді. Нәтижесі – лицензияны немесе дәлелді жауапты береді.</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минуттың ішінде қабылдауды және оларды тіркеуді жүзеге асырады. Нәтижесі – көрсетілетін қызметті беруші басшылығына құжатқа бұрыштама қоюға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1 (бір) жұмыс күні ішінде келіп түскен құжаттарды қарайды және көрсетілетін қызметті берушінің жауапты орындаушысын белгілейді. Нәтижесі – құжаттарды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5 (бес) жұмыс күні ішінде келіп түскен құжаттарды қарайды, лицензияны қайта ресімдейді немесе мемлекеттік қызметті көрсетуден бас тарту туралы дәлелді жауап дайындайды. Нәтижесі – қайта ресімделген лицензияны немесе дәлелді жауапты басшылыққа қол қоюға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 (бір) жұмыс күні ішінде қайта ресімделген лицензияға немесе дәлелді жауапқа қол қояды. Нәтижесі – қайта рәсімделген лицензияны немесе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маманы 30 (отыз) минуттың ішінде көрсетілетін қызметті алушыға қайта ресімделген лицензияны немесе дәлелді жауапты береді. Нәтижесі – қайта ресімделген лицензияны немесе дәлелді жауап береді.</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 көрсетілетін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қажетті құжаттарды берген сәттен бастап 30 (отыз) минуттың ішінде қабылдауды және оларды тіркеуді жүзеге асырады. Нәтижесі – құжаттар көрсетілетін қызметті беруші басшылығына бұрыштама қоюға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4 (төрт) сағат ішінде түскен құжаттармен танысады және көрсетілетін қызметті беруші жауапты орындаушысын белгілейді. Нәтижесі – құжаттарды мемлекеттік қызметті көрсету үшін көрсетілетін қызметті беруші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Нәтижесі – лицензияның телнұсқасына немесе дәлелді жауапқа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4 (төрт) сағат ішінде лицензияның телнұсқасына немесе дәлелді жауапқа қол қояды. Нәтижесі – қол қойылған лицензияның телнұсқасын немесе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 маманы 30 (отыз) минуттың ішінде көрсетілетін қызметті алушыға лицензияның телнұсқасын немесе дәлелді жауапты береді. Нәтижесі - лицензияның телнұсқасын немесе дәлелді жауап береді.</w:t>
      </w:r>
    </w:p>
    <w:bookmarkEnd w:id="6"/>
    <w:bookmarkStart w:name="z32"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33" w:id="8"/>
    <w:p>
      <w:pPr>
        <w:spacing w:after="0"/>
        <w:ind w:left="0"/>
        <w:jc w:val="both"/>
      </w:pPr>
      <w:r>
        <w:rPr>
          <w:rFonts w:ascii="Times New Roman"/>
          <w:b w:val="false"/>
          <w:i w:val="false"/>
          <w:color w:val="000000"/>
          <w:sz w:val="28"/>
        </w:rPr>
        <w:t xml:space="preserve">
      6. Көрсетілетін мемлекеттiк қызмет көрсету үдерісіне қатысатын қызмет </w:t>
      </w:r>
      <w:r>
        <w:br/>
      </w:r>
      <w:r>
        <w:rPr>
          <w:rFonts w:ascii="Times New Roman"/>
          <w:b w:val="false"/>
          <w:i w:val="false"/>
          <w:color w:val="000000"/>
          <w:sz w:val="28"/>
        </w:rPr>
        <w:t>
      берушiнiң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кеңсе маманы;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жауапты орындаушы;</w:t>
      </w:r>
      <w:r>
        <w:br/>
      </w:r>
      <w:r>
        <w:rPr>
          <w:rFonts w:ascii="Times New Roman"/>
          <w:b w:val="false"/>
          <w:i w:val="false"/>
          <w:color w:val="000000"/>
          <w:sz w:val="28"/>
        </w:rPr>
        <w:t>
</w:t>
      </w:r>
      <w:r>
        <w:rPr>
          <w:rFonts w:ascii="Times New Roman"/>
          <w:b w:val="false"/>
          <w:i w:val="false"/>
          <w:color w:val="000000"/>
          <w:sz w:val="28"/>
        </w:rPr>
        <w:t>
      4) мүдделі орган.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лицензия беру кезінде:</w:t>
      </w:r>
      <w:r>
        <w:br/>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көрсетілетін қызметті берушінің жауапты орындаушысы мүдделі органға сұраныс жолдайды – 2 (екі) жұмыс күні ішінде;</w:t>
      </w:r>
      <w:r>
        <w:br/>
      </w:r>
      <w:r>
        <w:rPr>
          <w:rFonts w:ascii="Times New Roman"/>
          <w:b w:val="false"/>
          <w:i w:val="false"/>
          <w:color w:val="000000"/>
          <w:sz w:val="28"/>
        </w:rPr>
        <w:t>
      4) мүдделі орган көрсетілетін қызметті алушының қойылатын талаптарға сәйкестігі немесе сәйкес еместігін анықтайды – 5 (бес) жұмыс күні ішінде;</w:t>
      </w:r>
      <w:r>
        <w:br/>
      </w:r>
      <w:r>
        <w:rPr>
          <w:rFonts w:ascii="Times New Roman"/>
          <w:b w:val="false"/>
          <w:i w:val="false"/>
          <w:color w:val="000000"/>
          <w:sz w:val="28"/>
        </w:rPr>
        <w:t>
      5) 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6) көрсетілетін қызметті беруші басшылығы лицензияға немесе дәлелді жауапқа қол қояды – 1 (бір) жұмыс күні ішінде;</w:t>
      </w:r>
      <w:r>
        <w:br/>
      </w:r>
      <w:r>
        <w:rPr>
          <w:rFonts w:ascii="Times New Roman"/>
          <w:b w:val="false"/>
          <w:i w:val="false"/>
          <w:color w:val="000000"/>
          <w:sz w:val="28"/>
        </w:rPr>
        <w:t>
      7) көрсетілетін қызметті берушінің кеңсе маманы көрсетілетін қызметті алушыға лицензия немесе дәлелді жауапты береді – 30 (отыз) минуттың ішінде.</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5 (бес) жұмыс күні ішінде;</w:t>
      </w:r>
      <w:r>
        <w:br/>
      </w:r>
      <w:r>
        <w:rPr>
          <w:rFonts w:ascii="Times New Roman"/>
          <w:b w:val="false"/>
          <w:i w:val="false"/>
          <w:color w:val="000000"/>
          <w:sz w:val="28"/>
        </w:rPr>
        <w:t>
      4) көрсетілетін қызметті беруші басшылығы қайта ресімделген лицензияға немесе дәлелді жауапқа қол қояды – 1 (бір) жұмыс күні ішінде;</w:t>
      </w:r>
      <w:r>
        <w:br/>
      </w:r>
      <w:r>
        <w:rPr>
          <w:rFonts w:ascii="Times New Roman"/>
          <w:b w:val="false"/>
          <w:i w:val="false"/>
          <w:color w:val="000000"/>
          <w:sz w:val="28"/>
        </w:rPr>
        <w:t>
      5) көрсетілетін қызметті берушінің кеңсе маманы көрсетілетін қызметті алушыға қайта ресімделген лицензияны немесе дәлелді жауап береді – 30 (отыз) минуттың ішінде.</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3) 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4) көрсетілетін қызметті беруші басшылығы лицензияның телнұсқасына немесе дәлелді жауапқа қол қояды – 4 (төрт) сағат ішінде;</w:t>
      </w:r>
      <w:r>
        <w:br/>
      </w:r>
      <w:r>
        <w:rPr>
          <w:rFonts w:ascii="Times New Roman"/>
          <w:b w:val="false"/>
          <w:i w:val="false"/>
          <w:color w:val="000000"/>
          <w:sz w:val="28"/>
        </w:rPr>
        <w:t>
      5) көрсетілетін қызметті беруші кеңсе маманы көрсетілетін қызметті алушыға лицензияның телнұсқасын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w:t>
      </w:r>
      <w:r>
        <w:rPr>
          <w:rFonts w:ascii="Times New Roman"/>
          <w:b w:val="false"/>
          <w:i w:val="false"/>
          <w:color w:val="ff0000"/>
          <w:sz w:val="28"/>
        </w:rPr>
        <w:t xml:space="preserve">Қарағанды облысының әкімдігінің 13.04.2015 № 16/08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блок-схемаларымен сүйемелденеді.</w:t>
      </w:r>
    </w:p>
    <w:bookmarkEnd w:id="8"/>
    <w:bookmarkStart w:name="z57"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58" w:id="10"/>
    <w:p>
      <w:pPr>
        <w:spacing w:after="0"/>
        <w:ind w:left="0"/>
        <w:jc w:val="both"/>
      </w:pPr>
      <w:r>
        <w:rPr>
          <w:rFonts w:ascii="Times New Roman"/>
          <w:b w:val="false"/>
          <w:i w:val="false"/>
          <w:color w:val="000000"/>
          <w:sz w:val="28"/>
        </w:rPr>
        <w:t>
      9.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компьютердегі интернет-браузерінде сақталып жатқан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w:t>
      </w:r>
      <w:r>
        <w:rPr>
          <w:rFonts w:ascii="Times New Roman"/>
          <w:b w:val="false"/>
          <w:i w:val="false"/>
          <w:color w:val="000000"/>
          <w:sz w:val="28"/>
        </w:rPr>
        <w:t>
      4) 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
      6) 4–үдеріс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
      14)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w:t>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w:t>
      </w:r>
      <w:r>
        <w:rPr>
          <w:rFonts w:ascii="Times New Roman"/>
          <w:b w:val="false"/>
          <w:i w:val="false"/>
          <w:color w:val="000000"/>
          <w:sz w:val="28"/>
        </w:rPr>
        <w:t>
      5) 4–үдеріс – "электрондық үкiметтiң" шлюзi (бұдан әрі – ЭҮШ) арқылы "Заңды тұлғалар" мемлекеттік деректер базасына, "Жеке тұлғалар" мемлекеттік деректер базасына (бұдан әрі – ЖТ МДБ/ЗТ МДБ) көрсетілетін қызметті алушы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ЖТ МДБ/ЗТ МДБ-да көрсетілетін қызметті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АЖ-де қалыптастырылған қызмет нәтижесін (электрондық лицензия) көрсетілетін қызмет алушының алуы. Электрондық құжат қызмет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11. ЭҮП және көрсетілетін қызметті беруші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5–қосымшасына</w:t>
      </w:r>
      <w:r>
        <w:rPr>
          <w:rFonts w:ascii="Times New Roman"/>
          <w:b w:val="false"/>
          <w:i w:val="false"/>
          <w:color w:val="000000"/>
          <w:sz w:val="28"/>
        </w:rPr>
        <w:t> сәйкес мемлекеттік қызмет көрсетудің бизнес-процестерінің анықтамалығында көрсетіледі.</w:t>
      </w:r>
    </w:p>
    <w:bookmarkEnd w:id="10"/>
    <w:bookmarkStart w:name="z90" w:id="11"/>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bookmarkStart w:name="z91" w:id="12"/>
    <w:p>
      <w:pPr>
        <w:spacing w:after="0"/>
        <w:ind w:left="0"/>
        <w:jc w:val="left"/>
      </w:pPr>
      <w:r>
        <w:rPr>
          <w:rFonts w:ascii="Times New Roman"/>
          <w:b/>
          <w:i w:val="false"/>
          <w:color w:val="000000"/>
        </w:rPr>
        <w:t xml:space="preserve"> 
Лицензия беру кезінде әрбiр рәсiмнiң (iс-қимылдың) ұзақтығын көрсете отырып рәсiмдердiң (iс-қимылдардың) реттiлiгiн сипаттау</w:t>
      </w:r>
    </w:p>
    <w:bookmarkEnd w:id="12"/>
    <w:p>
      <w:pPr>
        <w:spacing w:after="0"/>
        <w:ind w:left="0"/>
        <w:jc w:val="both"/>
      </w:pPr>
      <w:r>
        <w:drawing>
          <wp:inline distT="0" distB="0" distL="0" distR="0">
            <wp:extent cx="87122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12200" cy="4025900"/>
                    </a:xfrm>
                    <a:prstGeom prst="rect">
                      <a:avLst/>
                    </a:prstGeom>
                  </pic:spPr>
                </pic:pic>
              </a:graphicData>
            </a:graphic>
          </wp:inline>
        </w:drawing>
      </w:r>
    </w:p>
    <w:bookmarkStart w:name="z92" w:id="13"/>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bookmarkStart w:name="z93" w:id="14"/>
    <w:p>
      <w:pPr>
        <w:spacing w:after="0"/>
        <w:ind w:left="0"/>
        <w:jc w:val="left"/>
      </w:pPr>
      <w:r>
        <w:rPr>
          <w:rFonts w:ascii="Times New Roman"/>
          <w:b/>
          <w:i w:val="false"/>
          <w:color w:val="000000"/>
        </w:rPr>
        <w:t xml:space="preserve"> 
Лицензияны қайта ресімдеу кезінде әрбiр рәсiмнiң (iс-қимылдың) ұзақтығын көрсете отырып рәсiмдердiң (iс-қимылдардың) реттiлiгiн сипаттау</w:t>
      </w:r>
    </w:p>
    <w:bookmarkEnd w:id="14"/>
    <w:p>
      <w:pPr>
        <w:spacing w:after="0"/>
        <w:ind w:left="0"/>
        <w:jc w:val="both"/>
      </w:pPr>
      <w:r>
        <w:drawing>
          <wp:inline distT="0" distB="0" distL="0" distR="0">
            <wp:extent cx="86868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86800" cy="3594100"/>
                    </a:xfrm>
                    <a:prstGeom prst="rect">
                      <a:avLst/>
                    </a:prstGeom>
                  </pic:spPr>
                </pic:pic>
              </a:graphicData>
            </a:graphic>
          </wp:inline>
        </w:drawing>
      </w:r>
    </w:p>
    <w:bookmarkStart w:name="z94" w:id="15"/>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bookmarkStart w:name="z95" w:id="16"/>
    <w:p>
      <w:pPr>
        <w:spacing w:after="0"/>
        <w:ind w:left="0"/>
        <w:jc w:val="left"/>
      </w:pPr>
      <w:r>
        <w:rPr>
          <w:rFonts w:ascii="Times New Roman"/>
          <w:b/>
          <w:i w:val="false"/>
          <w:color w:val="000000"/>
        </w:rPr>
        <w:t xml:space="preserve"> 
Лицензия телнұсқасын беру кезінде әрбiр рәсiмнiң (iс-қимылдың) ұзақтығын көрсете отырып рәсiмдердiң (iс-қимылдардың) реттiлiгiн сипаттау</w:t>
      </w:r>
    </w:p>
    <w:bookmarkEnd w:id="16"/>
    <w:p>
      <w:pPr>
        <w:spacing w:after="0"/>
        <w:ind w:left="0"/>
        <w:jc w:val="both"/>
      </w:pPr>
      <w:r>
        <w:drawing>
          <wp:inline distT="0" distB="0" distL="0" distR="0">
            <wp:extent cx="86487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48700" cy="3556000"/>
                    </a:xfrm>
                    <a:prstGeom prst="rect">
                      <a:avLst/>
                    </a:prstGeom>
                  </pic:spPr>
                </pic:pic>
              </a:graphicData>
            </a:graphic>
          </wp:inline>
        </w:drawing>
      </w:r>
    </w:p>
    <w:bookmarkStart w:name="z96" w:id="17"/>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7"/>
    <w:bookmarkStart w:name="z97" w:id="18"/>
    <w:p>
      <w:pPr>
        <w:spacing w:after="0"/>
        <w:ind w:left="0"/>
        <w:jc w:val="left"/>
      </w:pPr>
      <w:r>
        <w:rPr>
          <w:rFonts w:ascii="Times New Roman"/>
          <w:b/>
          <w:i w:val="false"/>
          <w:color w:val="000000"/>
        </w:rPr>
        <w:t xml:space="preserve"> 
ЭҮП арқылы мемлекеттiк қызмет көрсету үдерісiнде ақпараттық жүйелердi пайдалану тәртiбi</w:t>
      </w:r>
    </w:p>
    <w:bookmarkEnd w:id="18"/>
    <w:p>
      <w:pPr>
        <w:spacing w:after="0"/>
        <w:ind w:left="0"/>
        <w:jc w:val="both"/>
      </w:pPr>
      <w:r>
        <w:drawing>
          <wp:inline distT="0" distB="0" distL="0" distR="0">
            <wp:extent cx="86741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74100" cy="4114800"/>
                    </a:xfrm>
                    <a:prstGeom prst="rect">
                      <a:avLst/>
                    </a:prstGeom>
                  </pic:spPr>
                </pic:pic>
              </a:graphicData>
            </a:graphic>
          </wp:inline>
        </w:drawing>
      </w:r>
    </w:p>
    <w:bookmarkStart w:name="z98" w:id="19"/>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пайдалану тәртiбi</w:t>
      </w:r>
    </w:p>
    <w:bookmarkEnd w:id="19"/>
    <w:p>
      <w:pPr>
        <w:spacing w:after="0"/>
        <w:ind w:left="0"/>
        <w:jc w:val="both"/>
      </w:pPr>
      <w:r>
        <w:drawing>
          <wp:inline distT="0" distB="0" distL="0" distR="0">
            <wp:extent cx="84582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458200" cy="4432300"/>
                    </a:xfrm>
                    <a:prstGeom prst="rect">
                      <a:avLst/>
                    </a:prstGeom>
                  </pic:spPr>
                </pic:pic>
              </a:graphicData>
            </a:graphic>
          </wp:inline>
        </w:drawing>
      </w:r>
    </w:p>
    <w:bookmarkStart w:name="z99" w:id="20"/>
    <w:p>
      <w:pPr>
        <w:spacing w:after="0"/>
        <w:ind w:left="0"/>
        <w:jc w:val="left"/>
      </w:pPr>
      <w:r>
        <w:rPr>
          <w:rFonts w:ascii="Times New Roman"/>
          <w:b/>
          <w:i w:val="false"/>
          <w:color w:val="000000"/>
        </w:rPr>
        <w:t xml:space="preserve"> 
Шартты белгілер:</w:t>
      </w:r>
    </w:p>
    <w:bookmarkEnd w:id="20"/>
    <w:p>
      <w:pPr>
        <w:spacing w:after="0"/>
        <w:ind w:left="0"/>
        <w:jc w:val="both"/>
      </w:pPr>
      <w:r>
        <w:drawing>
          <wp:inline distT="0" distB="0" distL="0" distR="0">
            <wp:extent cx="59436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43600" cy="3759200"/>
                    </a:xfrm>
                    <a:prstGeom prst="rect">
                      <a:avLst/>
                    </a:prstGeom>
                  </pic:spPr>
                </pic:pic>
              </a:graphicData>
            </a:graphic>
          </wp:inline>
        </w:drawing>
      </w:r>
    </w:p>
    <w:bookmarkStart w:name="z100"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1"/>
    <w:bookmarkStart w:name="z101" w:id="2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2"/>
    <w:p>
      <w:pPr>
        <w:spacing w:after="0"/>
        <w:ind w:left="0"/>
        <w:jc w:val="both"/>
      </w:pPr>
      <w:r>
        <w:drawing>
          <wp:inline distT="0" distB="0" distL="0" distR="0">
            <wp:extent cx="87376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37600" cy="3835400"/>
                    </a:xfrm>
                    <a:prstGeom prst="rect">
                      <a:avLst/>
                    </a:prstGeom>
                  </pic:spPr>
                </pic:pic>
              </a:graphicData>
            </a:graphic>
          </wp:inline>
        </w:drawing>
      </w:r>
    </w:p>
    <w:bookmarkStart w:name="z102" w:id="23"/>
    <w:p>
      <w:pPr>
        <w:spacing w:after="0"/>
        <w:ind w:left="0"/>
        <w:jc w:val="left"/>
      </w:pPr>
      <w:r>
        <w:rPr>
          <w:rFonts w:ascii="Times New Roman"/>
          <w:b/>
          <w:i w:val="false"/>
          <w:color w:val="000000"/>
        </w:rPr>
        <w:t xml:space="preserve"> 
Шартты белгілер:</w:t>
      </w:r>
    </w:p>
    <w:bookmarkEnd w:id="23"/>
    <w:p>
      <w:pPr>
        <w:spacing w:after="0"/>
        <w:ind w:left="0"/>
        <w:jc w:val="both"/>
      </w:pPr>
      <w:r>
        <w:drawing>
          <wp:inline distT="0" distB="0" distL="0" distR="0">
            <wp:extent cx="5651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51500" cy="1562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