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c78" w14:textId="f9bf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2013 жылғы 8 қазандағы № 19-7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30 сәуірдегі № 28-3 шешімі. Жамбыл облысының Әділет департаментінде 2014 жылғы 5 мамырда № 2207 болып тіркелді. Күші жойылды - Жамбыл облысы Тараз қалалық мәслихатының 2019 жылғы 15 ақпандағы № 42-6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көрсету, оның мөлшерлерін белгілеу және мұқтаж азаматтардың жекелеген санаттарының тізбесін айқындау қағидасын бекiту туралы" Тараз қалалық мәслихатының 2013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2037 болып тіркелген, 2013 жылы 20 қарашада № 47 "Жамбыл Тараз" газетінде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Тараз қаласы бойынша әлеуметтік көмек көрсету, оның мөлшерлерін белгілеу және мұқтаж азаматтардың жекелеген санаттарының тізбесін айқындау қағидасының: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"50 000" сандары "100 000" сандарымен ауыстырылсын, "(елу мың)" сөздері "(жүз мың)" сөздерімен ауыстырылсын.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 және 2014 жылдың 1 мамырынан бастап туындаған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Жетібаев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