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1d05" w14:textId="74c1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21 қарашадағы № 508 бұйрығы. Қазақстан Республикасының Әділет министрлігінде 2014 жылы 26 қарашада № 9907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120 «Жұмыс берушiлердiң жарналары» кiшi сыныбында:</w:t>
      </w:r>
      <w:r>
        <w:br/>
      </w:r>
      <w:r>
        <w:rPr>
          <w:rFonts w:ascii="Times New Roman"/>
          <w:b w:val="false"/>
          <w:i w:val="false"/>
          <w:color w:val="000000"/>
          <w:sz w:val="28"/>
        </w:rPr>
        <w:t>
      123 «Мiндеттi сақтандыру жарналары»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айырбастау және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шоттарына кейіннен аудару үшін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растайтын құжаттарды қоса берусіз,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156 «Консалтингтік қызметтер мен зерттеулерге ақы төлеу» ерекшелігі бойынша:</w:t>
      </w:r>
      <w:r>
        <w:br/>
      </w:r>
      <w:r>
        <w:rPr>
          <w:rFonts w:ascii="Times New Roman"/>
          <w:b w:val="false"/>
          <w:i w:val="false"/>
          <w:color w:val="000000"/>
          <w:sz w:val="28"/>
        </w:rPr>
        <w:t>
      мынадай ерекшеліктер бойынша:</w:t>
      </w:r>
      <w:r>
        <w:br/>
      </w:r>
      <w:r>
        <w:rPr>
          <w:rFonts w:ascii="Times New Roman"/>
          <w:b w:val="false"/>
          <w:i w:val="false"/>
          <w:color w:val="000000"/>
          <w:sz w:val="28"/>
        </w:rPr>
        <w:t>
      144 «Отын, жанар-жағар май материалдарын сатып алу»:</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айырбастау және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шоттарына кейіннен аудару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Қазақстан Республикасы құқық қорғау органдарының алыс және жақын шетелдерге қызметтік іссапарларын төлеумен байланысты шығыстарды корпоративтік толем карточкасын пайдалана отырып төлеу кезінде азаматтық-құқықтық мәмілені тіркеу талап етілмейді. Қазақстан Республикасының Үкіметі бекітетін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100 еселенген айлық есептік көрсеткіштен аспайтын сомаға шығыстар бойынша төлемдерді азаматтық-құқықтық мәміле жасаспай жүргізу растау құжаттарын қоса берусіз төлеуге берілген шот негізінде жүзеге асырылады.»;</w:t>
      </w:r>
      <w:r>
        <w:br/>
      </w:r>
      <w:r>
        <w:rPr>
          <w:rFonts w:ascii="Times New Roman"/>
          <w:b w:val="false"/>
          <w:i w:val="false"/>
          <w:color w:val="000000"/>
          <w:sz w:val="28"/>
        </w:rPr>
        <w:t>
      149 «Өзге де қорларды сатып алу»:</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шоттарына кейіннен аудару үшін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 азаматтық-құқықтық мәміле жасаспай жүргізу растау құжаттарын қоса берусіз төлеуге берілген шот негізінде жүзеге асырылады.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шартты тіркеу талап етілмейді.»;</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151 «Коммуналдық қызметтерге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айырбастау және кейіннен Қазақстан Республикасының Ресей Федерациясындағы Сауда өкілдігінің шоттарына аудару үшін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152 «Байланыс қызметтеріне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r>
        <w:br/>
      </w:r>
      <w:r>
        <w:rPr>
          <w:rFonts w:ascii="Times New Roman"/>
          <w:b w:val="false"/>
          <w:i w:val="false"/>
          <w:color w:val="000000"/>
          <w:sz w:val="28"/>
        </w:rPr>
        <w:t>
</w:t>
      </w:r>
      <w:r>
        <w:rPr>
          <w:rFonts w:ascii="Times New Roman"/>
          <w:b w:val="false"/>
          <w:i w:val="false"/>
          <w:color w:val="000000"/>
          <w:sz w:val="28"/>
        </w:rPr>
        <w:t>
      154 «Үй-жайды жалға алу төлемдері»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Қазақстан Республикасы Сыртқы істер министрлігі әкімшісі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және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Қазақстан Республикасы Үкіметі мен ЭЫДҰ арасында жасалған келісімдер бойынша ақша қаражатын аудару кезінде, Қазақстан Республикасы Сыртқы істер министрлiгi әкiмшiсi болып табылатын «Ақпараттық имидждік саясатты іске асыруды қамтамасыз ету», «Қазақстан Республикасының дипломатиялық өкiлдiктерiн орналастыру үшін шетелде жылжымайтын мүлік объектiлерiн сатып алу және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 реттеу кезiнде, халықаралық төрелік органдар мен шетелдік соттардың шешiмдерi бойынша шығарылған төрелік шығыстар мен сот шығыстарын төлеу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8"/>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(З.А. Ерназарова) заңнамада белгіленген тәртіпте:</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Әдiлет министрлiгiнде мемлекеттiк тiркелген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