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6af3" w14:textId="d956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2014 жылғы 14 сәуірдегі № 154 шешімі. Ақтөбе облысының Әділет департаментінде 2014 жылғы 04 мамырда № 3879 болып тіркелді. Күші жойылды - Ақтөбе облысы Мұғалжар аудандық мәслихатының 2022 жылғы 18 наурыздағы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18.03.2022 № 152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Мұғалжар ауданында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Ә.Достанова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ауданында бөлек жергiлiктi қоғамдастық жиындарын өткiзудiң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Мұғалжар ауданында бөлек жергiлiктi қоғамдастық жиындарын өткiзудiң қағидалары (бұдан әрі-Қағидалар)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ауыл, көше, көппәтерлi тұрғын үй тұрғындарының бөлек жергiлiктi қоғамдастық жиындарын өткiзудiң тәртiбiн белгiлейдi.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Мұғалжар ауданының аудандық маңызы бар қаланың, ауылдардың, кенттердің, ауылдық округтердің аумағындағы ауылдың, көше, көппәтерлi тұрғын үй тұрғындарының бөлек жергiлiктi қоғамдастық жиынына (бұдан әрi - бөлек жиын) қатысу үшiн өкiлдердi сайлау мақсатында шақырылады және өткiзiледi.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1.Жалпы ережелер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келесідей ұғымдар пайдаланылады: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өзін-өзі басқару – халық тікелей жүзеге асыратын, сондай-ақ мәслихаттар және басқа да жергілікті өзін-өзі басқару органдары арқылы жүзеге асырылатын жергілікті маңызы бар мәселелерді өзінің жауапкершілігімен дербес шешуге бағытталған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– шекараларында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маңызы бар мәселелер – реттелуі тиісті әкімшілік-аумақтық бөлініс тұрғындарының басым бөлігінің құқықтары мен заңды мүдделерін қамтамасыз етуге байланысты тиісті әкімшілік-аумақтық бөлініс қызметінің мәселелері.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жиынын өткiзу тәртiбi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жиын аудандық маңызы бар қаланың, ауылдық округтiң әкiмiмен шақырылады.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ауданының әкiмiнiң бөлек жергiлiктi қоғамдастық жиынын өткiзуге оң шешiмi бар болған жағдайда бөлек жиынды өткiзуге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елді мекенде тұрақты тұратын азаматтар бөлек жиынға қатысуға құқығы бар.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Ауыл, көше, көппәтерлi тұрғын үй шегiнде бөлек жиынды өткiзудi аудандық маңызы бар қаланың және ауылдық округтiң әкiмi ұйымдастырады.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ашудың алдында тиiстi ауылдың, көшенiң, көппәтерлi тұрғын үйдiң қатысып отырған тұрғындарына тiркеу жүргiзiледi.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жергілікті қоғамдастық жиынына кәмлетке толмаған тұлғалардың, сот әрекетке қабілетсіз деп таныған тұлғалардың, сондай-ақ сот үкімімен бас бостандығынан айыру орындаврындағы тұлғалардың қатысуға құқығы жоқ.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жиынды аудандық маңызы бар қала, ауылдық округ әкiмi немесе ол уәкiлеттiк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ауылдық округ әкiмi немесе ол уәкiлеттiк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Бөлек жиынның қатысушылары жергілікті қоғамдастық жиынына қатысу үшін ауыл, көше, көппәтерлі тұрғын үй тұрғындары өкілдерінің кандидатураларын әр 100 тұрғындардан 1 адам сандық құрамында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үшiн ауыл, көше, көппәтерлi тұрғын үй тұрғындары өкiлдерiнiң саны ауыл, көше, көппәтерлі тұрғын үй тұрғындарына тең өкілдік ету қағидаты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Бөлек жиында хаттама жүргiзiледi, оған төраға мен хатшы қол қояды және оны тиiстi аудандық маңызы бар қала, ауылдық округ әкiмiнiң аппаратына бередi.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3.Қорытынды ереже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Бөлек жиын өткізу барысында жергілікті қоғамдастықтың мүшелері қоғамдық тәртіпті сақтаулары қажет.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