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dde" w14:textId="287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ауылдық округтерінде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15 сәуірдегі № 220 шешімі. Ақтөбе облысының Әділет департаментінде 2014 жылғы 11 мамырда № 3893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Ақтөбе қаласының ауылдық округтерінде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Байсеиітов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ауылдық округтерінде бөлек жергілікті қоғамдастық жиындарын өткізу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Ақтөбе қаласының Қарғалы, Благодар, Сазды, Новый және Қурайлы ауылдық округтері бойынша ауыл, көше, көп пәтерлі тұрғын үй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 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 әкімі шақырады және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жиын өткізу үшін Ақтөбе қаласы әкімінің жергілікті қоғамдастық жиынын өткізуге оң шешімі болуы қажет.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халқы бөлек жиындардың шақырылу уақыты, орны және талқыланатын мәселелері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ашар алдында тиісті ауылдың, көшенің, көп пәтерлі тұрғын үйдің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 әкімі немесе ол уәкілеттік берген тұлға бөлек жиынның төрағасы болып табылады және бөлек жиынды ашады.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жиынның хаттамасын рәсімдеу үшін ашық дауыспен хатшы сайланады.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қоғамдастық жиынына қатысу үшін ауыл, көше, көп пәтерлі тұрғын үй тұрғындары өкілдерінің санын айқындау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ауыл, көше, көп пәтерлі тұрғын үй тұрғындары өкілдерінің кандидатураларын бөлек жиынның қатысушылары ұсынады.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 пәтерлі тұрғын үй тұрғындары өкілдерінің саны тең өкілдік ету қағидаты негізінде айқындалады.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ауыл, көше, көп пәтерлі тұрғын үй тұрғындары өкілдерінің кандидатуралары жасы 18-ден асқан, әрекет қабілеттігі бар, сотталмаған, әкімшілік-аумақтық бөлініс шекарасының аумағындағы тұрғылықты тіркелген азаматтардың әр 100 адамнан 1 адам құрамында бөлек жиынның қатысушыларымен ұсынылады.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Бөлек жиында хаттама жүргізіледі, оған төраға мен хатшы қол қояды және оны Ақтөбе қаласы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