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0fb1" w14:textId="a980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әкімдігінің 2014 жылғы 28 тамыздағы № а-9/542 қаулысы. Ақмола облысының Әділет департаментінде 2014 жылғы 1 қазанда № 4377 болып тіркелді. Күші жойылды - Ақмола облысы Бурабай ауданы әкімдігінің 2015 жылғы 22 мамырдағы № а-5/250 қаулысымен</w:t>
      </w:r>
    </w:p>
    <w:p>
      <w:pPr>
        <w:spacing w:after="0"/>
        <w:ind w:left="0"/>
        <w:jc w:val="left"/>
      </w:pPr>
      <w:r>
        <w:rPr>
          <w:rFonts w:ascii="Times New Roman"/>
          <w:b w:val="false"/>
          <w:i w:val="false"/>
          <w:color w:val="ff0000"/>
          <w:sz w:val="28"/>
        </w:rPr>
        <w:t>      Ескерту. Күші жойылды - Ақмола облысы Бурабай ауданы әкімдігінің 22.05.2015 № а-5/250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аудандық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Бурабай ауданы әкімінің орынбасары М.Б. Нұрпановаға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2014 жылғы 28 тамыздағы № а-9/542</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жалға алу төлемінің есептік мөлшерлемесін есептеу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аудандық коммуналдық мүлікті мүліктік жалдауға (жалға алуға) беру кезінде жалға алу төлемінің есептік мөлшерлемесін есептеу қағидасы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Аудандық коммуналдық заңды тұлғаның балансындағы мемлекеттік тұрғын емес қордың объектілерін мүліктік жалдауға (жалға алу) беру кезінде жылдық жалдау төлем ақысының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мөлшерлемесі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мұндағы:</w:t>
      </w:r>
      <w:r>
        <w:br/>
      </w:r>
      <w:r>
        <w:rPr>
          <w:rFonts w:ascii="Times New Roman"/>
          <w:b w:val="false"/>
          <w:i w:val="false"/>
          <w:color w:val="000000"/>
          <w:sz w:val="28"/>
        </w:rPr>
        <w:t>
      Ап – бір жылда аудандық коммуналдық заңды тұлғалардың балансындағы мемлекеттік тұрғын емес қордың объектілеріне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құрылыстың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 – 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3. Жабдықтар, автокөлік құралдарын және басқа пайдаланылмайтын заттарды мүліктік жалдауға (жалға алу) беру кезінде жалдау ақысының есеп айырысуы мына формула бойынша жүзеге асырылады:</w:t>
      </w:r>
      <w:r>
        <w:br/>
      </w:r>
      <w:r>
        <w:rPr>
          <w:rFonts w:ascii="Times New Roman"/>
          <w:b w:val="false"/>
          <w:i w:val="false"/>
          <w:color w:val="000000"/>
          <w:sz w:val="28"/>
        </w:rPr>
        <w:t>
      Ап=С х Nam / 100 х Кп</w:t>
      </w:r>
      <w:r>
        <w:br/>
      </w:r>
      <w:r>
        <w:rPr>
          <w:rFonts w:ascii="Times New Roman"/>
          <w:b w:val="false"/>
          <w:i w:val="false"/>
          <w:color w:val="000000"/>
          <w:sz w:val="28"/>
        </w:rPr>
        <w:t>
      мұндағы:</w:t>
      </w:r>
      <w:r>
        <w:br/>
      </w:r>
      <w:r>
        <w:rPr>
          <w:rFonts w:ascii="Times New Roman"/>
          <w:b w:val="false"/>
          <w:i w:val="false"/>
          <w:color w:val="000000"/>
          <w:sz w:val="28"/>
        </w:rPr>
        <w:t>
      Ап – жылына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xml:space="preserve">
      Nam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w:t>
      </w:r>
      <w:r>
        <w:rPr>
          <w:rFonts w:ascii="Times New Roman"/>
          <w:b w:val="false"/>
          <w:i w:val="false"/>
          <w:color w:val="000000"/>
          <w:sz w:val="28"/>
        </w:rPr>
        <w:t>4. Мемлекеттік тұрғын емес қор объектілерін сағат бойынша мүліктік жалға беру, сонымен қатар аудандық коммуналдық заңды тұлғалардың балансындағы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Ач=Ап/12/Д/24,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аудандық коммуналдық заңды тұлғалардың балансындағы мемлекеттік тұрғын емес қор объектілеріне, жабдықтарға, автокөлік құралдарына және басқа пайдаланылмайтын заттарға жалға алу төлемінің мөлшерлемесі;</w:t>
      </w:r>
      <w:r>
        <w:br/>
      </w:r>
      <w:r>
        <w:rPr>
          <w:rFonts w:ascii="Times New Roman"/>
          <w:b w:val="false"/>
          <w:i w:val="false"/>
          <w:color w:val="000000"/>
          <w:sz w:val="28"/>
        </w:rPr>
        <w:t xml:space="preserve">
      Ап - осы Қағиданың </w:t>
      </w:r>
      <w:r>
        <w:rPr>
          <w:rFonts w:ascii="Times New Roman"/>
          <w:b w:val="false"/>
          <w:i w:val="false"/>
          <w:color w:val="000000"/>
          <w:sz w:val="28"/>
        </w:rPr>
        <w:t>2-інші</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аталған жалға алу мөлшермесі;</w:t>
      </w:r>
      <w:r>
        <w:br/>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 xml:space="preserve">мүліктік жалдауға (жалға алуға) </w:t>
            </w:r>
            <w:r>
              <w:br/>
            </w:r>
            <w:r>
              <w:rPr>
                <w:rFonts w:ascii="Times New Roman"/>
                <w:b w:val="false"/>
                <w:i w:val="false"/>
                <w:color w:val="000000"/>
                <w:sz w:val="20"/>
              </w:rPr>
              <w:t>беру кезінде жалға алу төлемінің</w:t>
            </w:r>
            <w:r>
              <w:br/>
            </w:r>
            <w:r>
              <w:rPr>
                <w:rFonts w:ascii="Times New Roman"/>
                <w:b w:val="false"/>
                <w:i w:val="false"/>
                <w:color w:val="000000"/>
                <w:sz w:val="20"/>
              </w:rPr>
              <w:t>есептік мөлшерлемесін есептеу</w:t>
            </w:r>
            <w:r>
              <w:br/>
            </w:r>
            <w:r>
              <w:rPr>
                <w:rFonts w:ascii="Times New Roman"/>
                <w:b w:val="false"/>
                <w:i w:val="false"/>
                <w:color w:val="000000"/>
                <w:sz w:val="20"/>
              </w:rPr>
              <w:t>қағидасына қосымша</w:t>
            </w:r>
          </w:p>
        </w:tc>
      </w:tr>
    </w:tbl>
    <w:bookmarkStart w:name="z12" w:id="1"/>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қолданылатын коэффициенттердің мөлшері және негізгі мөлшерлемесі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10216"/>
      </w:tblGrid>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мөлшерлеме</w:t>
            </w:r>
            <w:r>
              <w:br/>
            </w:r>
            <w:r>
              <w:rPr>
                <w:rFonts w:ascii="Times New Roman"/>
                <w:b w:val="false"/>
                <w:i w:val="false"/>
                <w:color w:val="000000"/>
                <w:sz w:val="20"/>
              </w:rPr>
              <w:t>
</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айлық есептік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0296"/>
        <w:gridCol w:w="1390"/>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р/т</w:t>
            </w: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Коэффициенттердің түрлері</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 мөлшері</w:t>
            </w:r>
            <w:r>
              <w:br/>
            </w:r>
            <w:r>
              <w:rPr>
                <w:rFonts w:ascii="Times New Roman"/>
                <w:b w:val="false"/>
                <w:i w:val="false"/>
                <w:color w:val="000000"/>
                <w:sz w:val="20"/>
              </w:rPr>
              <w:t>
</w:t>
            </w:r>
          </w:p>
        </w:tc>
      </w:tr>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есепке алатын коэффициент (Кт):</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кеңселік, әкімшілік, қоғамдық</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ауыл шаруашылық қажеттіліктеріне арналған, өндірістік</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 спорт ғимараттар (стадион, спорт қонақ бөлмелер)</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жайдың, құрылыстың түрін есепке алатын коэффициент (Кк)</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ғимарат немесе ғимараттағы жай</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жалғастыра салынған бөлігі</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цоколдық (жартылай жертөле) бөлігі</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 төбесі</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Жабдықталғандығының дәрежесін есепке алатын коэффициент (Кжд)</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w:t>
            </w:r>
            <w:r>
              <w:br/>
            </w:r>
            <w:r>
              <w:rPr>
                <w:rFonts w:ascii="Times New Roman"/>
                <w:b w:val="false"/>
                <w:i w:val="false"/>
                <w:color w:val="000000"/>
                <w:sz w:val="20"/>
              </w:rPr>
              <w:t>
қандай да коммуникация түрі болмаған жағдайда әр түрге 0,5 азаяды</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орналасуын есепке алатын коэффициент (Кр)</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қала, кент</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село</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есепке алатын коэффициент (Кқт);</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ойынхана, ұялы байланыс қызметімен қамтамасыз ету үшін</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облыста қызметтерді ұйымдастыруға арналған:</w:t>
            </w:r>
            <w:r>
              <w:br/>
            </w:r>
            <w:r>
              <w:rPr>
                <w:rFonts w:ascii="Times New Roman"/>
                <w:b w:val="false"/>
                <w:i w:val="false"/>
                <w:color w:val="000000"/>
                <w:sz w:val="20"/>
              </w:rPr>
              <w:t>
1) жоғары, техникалық және кәсіптік білім;</w:t>
            </w:r>
            <w:r>
              <w:br/>
            </w:r>
            <w:r>
              <w:rPr>
                <w:rFonts w:ascii="Times New Roman"/>
                <w:b w:val="false"/>
                <w:i w:val="false"/>
                <w:color w:val="000000"/>
                <w:sz w:val="20"/>
              </w:rPr>
              <w:t>
2) орта білім;</w:t>
            </w:r>
            <w:r>
              <w:br/>
            </w:r>
            <w:r>
              <w:rPr>
                <w:rFonts w:ascii="Times New Roman"/>
                <w:b w:val="false"/>
                <w:i w:val="false"/>
                <w:color w:val="000000"/>
                <w:sz w:val="20"/>
              </w:rPr>
              <w:t>
3) мектепке дейінгі тәрбиелеу және оқыту</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мемлекеттік заңды тұлғалар орналасқан ғимараттарда, кіруін шектетумен осы мекемелердің және кәсіпорындардың жұмыс кестесінен аспайтын жұмыс кестесімен (бөлшек сауда) қызметшілердің тамақтануын және буфеттерді ұйымдастыру үшін</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жарғылық қызметті іске асыратын ғимараттарда, осы мекемелердің және кәсіпорындардың жұмыс кестесінен аспайтын жұмыс кестесімен (бөлшек сауда) мемлекеттік заңды тұлғалардың тамақтануын және буфеттерді ұйымдастыру үшін</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пошта қызметі саласындағы қызметтерді ұсыну үшін</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басқалар үшін</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алушының ұйымдастыру–құқықтық нысанын ескеретін коэффициент (Кұқн):</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коммерциялық емес ұйымдар үшін (үкіметтік емес ұйымдардан басқа)</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үкіметтік емес ұйымдар үшін</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басқалар үшін</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