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7ded" w14:textId="4f67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2014 жылғы 16 сәуірдегі № 208/28-5 шешімі. Ақмола облысының Әділет департаментінде 2014 жылғы 15 мамырда № 4184 болып тіркелді. Күші жойылды - Ақмола облысы Целиноград аудандық мәслихатының 2016 жылғы 23 желтоқсандағы № 87/10-6 шешімімен</w:t>
      </w:r>
    </w:p>
    <w:p>
      <w:pPr>
        <w:spacing w:after="0"/>
        <w:ind w:left="0"/>
        <w:jc w:val="left"/>
      </w:pPr>
      <w:r>
        <w:rPr>
          <w:rFonts w:ascii="Times New Roman"/>
          <w:b w:val="false"/>
          <w:i w:val="false"/>
          <w:color w:val="ff0000"/>
          <w:sz w:val="28"/>
        </w:rPr>
        <w:t xml:space="preserve">      Ескерту. Күші жойылды - Ақмола облысы Целиноград аудандық мәслихатының 23.12.2016 </w:t>
      </w:r>
      <w:r>
        <w:rPr>
          <w:rFonts w:ascii="Times New Roman"/>
          <w:b w:val="false"/>
          <w:i w:val="false"/>
          <w:color w:val="ff0000"/>
          <w:sz w:val="28"/>
        </w:rPr>
        <w:t>№ 87/10-6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Целиноград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Д.Қамзебаев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Р.Түлкібаев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Б.Мауленов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2014 жылғы 16 сәуірдегі</w:t>
            </w:r>
            <w:r>
              <w:br/>
            </w:r>
            <w:r>
              <w:rPr>
                <w:rFonts w:ascii="Times New Roman"/>
                <w:b w:val="false"/>
                <w:i w:val="false"/>
                <w:color w:val="000000"/>
                <w:sz w:val="20"/>
              </w:rPr>
              <w:t>№ 208/28-5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Целиноград ауданында бөлек жергілікті қоғамдастық жиындарын өткізудің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Целиноград ауданында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Целиноград ауданының ауылдарының, ауылдық округтерінің аумағындағы ауыл, көше, көппәтерлі тұрғын үй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Целиноград ауданының ауылдарының, ауылдық округтерінің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ауылдық округтің әкімі шақырады. Целиноград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"Ақмол ақпараты", "Вести Акмола" аудандық газеттері арқылы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Ауыл, көше, көппәтерлі тұрғын үй шегінде бөлек жиынды өткізуді ауылдық округтің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ауылдық округ әкімі немесе ол уәкілеттік берген тұлға ашады.</w:t>
      </w:r>
      <w:r>
        <w:br/>
      </w:r>
      <w:r>
        <w:rPr>
          <w:rFonts w:ascii="Times New Roman"/>
          <w:b w:val="false"/>
          <w:i w:val="false"/>
          <w:color w:val="000000"/>
          <w:sz w:val="28"/>
        </w:rPr>
        <w:t>
      </w:t>
      </w:r>
      <w:r>
        <w:rPr>
          <w:rFonts w:ascii="Times New Roman"/>
          <w:b w:val="false"/>
          <w:i w:val="false"/>
          <w:color w:val="000000"/>
          <w:sz w:val="28"/>
        </w:rPr>
        <w:t>Ауылдық округ әкімі немесе ол уәкілеттік берген тұлға бөлек жиынның төрағасы болып табылады.</w:t>
      </w:r>
      <w:r>
        <w:br/>
      </w:r>
      <w:r>
        <w:rPr>
          <w:rFonts w:ascii="Times New Roman"/>
          <w:b w:val="false"/>
          <w:i w:val="false"/>
          <w:color w:val="000000"/>
          <w:sz w:val="28"/>
        </w:rPr>
        <w:t>
      </w:t>
      </w:r>
      <w:r>
        <w:rPr>
          <w:rFonts w:ascii="Times New Roman"/>
          <w:b w:val="false"/>
          <w:i w:val="false"/>
          <w:color w:val="000000"/>
          <w:sz w:val="28"/>
        </w:rPr>
        <w:t>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8. Жергілікті қоғамдастық жиынына қатысу үшін, ауыл, көше, көппәтерлі тұрғын үй тұрғындары өкілдерінің кандидатураларын ауыл, көше, көппәтерлі тұрғын үй тұрғындарының жалпы санының бір пайызы мөлшерінде бөлек жиынның қатысушылары ұсынады.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r>
        <w:br/>
      </w:r>
      <w:r>
        <w:rPr>
          <w:rFonts w:ascii="Times New Roman"/>
          <w:b w:val="false"/>
          <w:i w:val="false"/>
          <w:color w:val="000000"/>
          <w:sz w:val="28"/>
        </w:rPr>
        <w:t>
      </w:t>
      </w:r>
      <w:r>
        <w:rPr>
          <w:rFonts w:ascii="Times New Roman"/>
          <w:b w:val="false"/>
          <w:i w:val="false"/>
          <w:color w:val="000000"/>
          <w:sz w:val="28"/>
        </w:rPr>
        <w:t>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тиісті ауылдық округ әкімінің аппаратына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