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8a6a" w14:textId="a938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шығындарды өтеу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2014 жылғы 29 қыркүйектегі № 2/29 шешімі. Ақмола облысының Әділет департаментінде 2014 жылғы 27 қазанда № 4422 болып тіркелді. Күші жойылды - Ақмола облысы Қорғалжын аудандық мәслихатының 2017 жылғы 28 тамыздағы № 2/18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28.08.2017 </w:t>
      </w:r>
      <w:r>
        <w:rPr>
          <w:rFonts w:ascii="Times New Roman"/>
          <w:b w:val="false"/>
          <w:i w:val="false"/>
          <w:color w:val="ff0000"/>
          <w:sz w:val="28"/>
        </w:rPr>
        <w:t>№ 2/18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Кемтар балаларды үйде оқытуға жұмсаған шығындарды өтеу тәртібін белгілеу:</w:t>
      </w:r>
    </w:p>
    <w:bookmarkEnd w:id="1"/>
    <w:bookmarkStart w:name="z3" w:id="2"/>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2"/>
    <w:bookmarkStart w:name="z4" w:id="3"/>
    <w:p>
      <w:pPr>
        <w:spacing w:after="0"/>
        <w:ind w:left="0"/>
        <w:jc w:val="both"/>
      </w:pPr>
      <w:r>
        <w:rPr>
          <w:rFonts w:ascii="Times New Roman"/>
          <w:b w:val="false"/>
          <w:i w:val="false"/>
          <w:color w:val="000000"/>
          <w:sz w:val="28"/>
        </w:rPr>
        <w:t>
      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3"/>
    <w:bookmarkStart w:name="z5" w:id="4"/>
    <w:p>
      <w:pPr>
        <w:spacing w:after="0"/>
        <w:ind w:left="0"/>
        <w:jc w:val="both"/>
      </w:pPr>
      <w:r>
        <w:rPr>
          <w:rFonts w:ascii="Times New Roman"/>
          <w:b w:val="false"/>
          <w:i w:val="false"/>
          <w:color w:val="000000"/>
          <w:sz w:val="28"/>
        </w:rPr>
        <w:t>
      3) шығындарды өтеу қаржыландырудың түсуіне байланысты тоқсан сайын жүргізіледі. Шығындарды өтеуді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4"/>
    <w:bookmarkStart w:name="z6" w:id="5"/>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 мүгедектер қатарындағы кемтар әр балаға тоқсан сайын тоғыз айлық есептік көрсеткіш мөлшері белгіленсін.</w:t>
      </w:r>
    </w:p>
    <w:bookmarkEnd w:id="5"/>
    <w:bookmarkStart w:name="z7" w:id="6"/>
    <w:p>
      <w:pPr>
        <w:spacing w:after="0"/>
        <w:ind w:left="0"/>
        <w:jc w:val="both"/>
      </w:pP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