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8a6a" w14:textId="a938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үйде оқытуға жұмсаған шығындарды өтеу тәртібін және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2014 жылғы 29 қыркүйектегі № 2/29 шешімі. Ақмола облысының Әділет департаментінде 2014 жылғы 27 қазанда № 4422 болып тіркелді. Күші жойылды - Ақмола облысы Қорғалжын аудандық мәслихатының 2017 жылғы 28 тамыздағы № 2/18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28.08.2017 </w:t>
      </w:r>
      <w:r>
        <w:rPr>
          <w:rFonts w:ascii="Times New Roman"/>
          <w:b w:val="false"/>
          <w:i w:val="false"/>
          <w:color w:val="ff0000"/>
          <w:sz w:val="28"/>
        </w:rPr>
        <w:t>№ 2/18</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Қорғалжын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Кемтар балаларды үйде оқытуға жұмсаған шығындарды өтеу тәртібін белгілеу:</w:t>
      </w:r>
    </w:p>
    <w:bookmarkEnd w:id="1"/>
    <w:bookmarkStart w:name="z3" w:id="2"/>
    <w:p>
      <w:pPr>
        <w:spacing w:after="0"/>
        <w:ind w:left="0"/>
        <w:jc w:val="both"/>
      </w:pPr>
      <w:r>
        <w:rPr>
          <w:rFonts w:ascii="Times New Roman"/>
          <w:b w:val="false"/>
          <w:i w:val="false"/>
          <w:color w:val="000000"/>
          <w:sz w:val="28"/>
        </w:rPr>
        <w:t>
      1) үйде оқытуға жұмсаған шығындарды өтеу (толықтай мемлекет қамтамасыз ететін мүгедек балалар және оларға қатысты ата-аналары ата-ана құқығынан айрылған мүгедек балалардан басқа) мүгедектер қатарындағы кемтар балалардың ата-анасының біреуіне және басқа заңды өкілдеріне отбасы кірісіне тәуелсіз беріледі;</w:t>
      </w:r>
    </w:p>
    <w:bookmarkEnd w:id="2"/>
    <w:bookmarkStart w:name="z4" w:id="3"/>
    <w:p>
      <w:pPr>
        <w:spacing w:after="0"/>
        <w:ind w:left="0"/>
        <w:jc w:val="both"/>
      </w:pPr>
      <w:r>
        <w:rPr>
          <w:rFonts w:ascii="Times New Roman"/>
          <w:b w:val="false"/>
          <w:i w:val="false"/>
          <w:color w:val="000000"/>
          <w:sz w:val="28"/>
        </w:rPr>
        <w:t>
      2) шығындарды өтеу өтініш білдірген айдан бастап "Ақмола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bookmarkEnd w:id="3"/>
    <w:bookmarkStart w:name="z5" w:id="4"/>
    <w:p>
      <w:pPr>
        <w:spacing w:after="0"/>
        <w:ind w:left="0"/>
        <w:jc w:val="both"/>
      </w:pPr>
      <w:r>
        <w:rPr>
          <w:rFonts w:ascii="Times New Roman"/>
          <w:b w:val="false"/>
          <w:i w:val="false"/>
          <w:color w:val="000000"/>
          <w:sz w:val="28"/>
        </w:rPr>
        <w:t>
      3) шығындарды өтеу қаржыландырудың түсуіне байланысты тоқсан сайын жүргізіледі. Шығындарды өтеуді тоқтатуға әкеп соққан жағдайлар бар болғанда (мүгедектер қатарындағы кемтар баланың 18 жасқа толуы, қайтыс болуы, мүгедектікті алып тастау), төлемдер сәйкес жағдайлар туындағаннан кейінгі айдан бастап тоқтатылады.</w:t>
      </w:r>
    </w:p>
    <w:bookmarkEnd w:id="4"/>
    <w:bookmarkStart w:name="z6" w:id="5"/>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 мүгедектер қатарындағы кемтар әр балаға тоқсан сайын тоғыз айлық есептік көрсеткіш мөлшері белгіленсін.</w:t>
      </w:r>
    </w:p>
    <w:bookmarkEnd w:id="5"/>
    <w:bookmarkStart w:name="z7" w:id="6"/>
    <w:p>
      <w:pPr>
        <w:spacing w:after="0"/>
        <w:ind w:left="0"/>
        <w:jc w:val="both"/>
      </w:pPr>
      <w:r>
        <w:rPr>
          <w:rFonts w:ascii="Times New Roman"/>
          <w:b w:val="false"/>
          <w:i w:val="false"/>
          <w:color w:val="000000"/>
          <w:sz w:val="28"/>
        </w:rPr>
        <w:t>
      3.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М.Айтжанов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