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b80c" w14:textId="29f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2014 жылғы 20 тамыздағы № а-8/319 қаулысы. Ақмола облысының Әділет департаментінде 2014 жылғы 25 қыркүйекте № 4369 болып тіркелді. Күші жойылды - Ақмола облысы Есіл ауданы әкімдігінің 2015 жылғы 30 сәуірдегі № а-4/184 қаулысымен</w:t>
      </w:r>
    </w:p>
    <w:p>
      <w:pPr>
        <w:spacing w:after="0"/>
        <w:ind w:left="0"/>
        <w:jc w:val="both"/>
      </w:pPr>
      <w:r>
        <w:rPr>
          <w:rFonts w:ascii="Times New Roman"/>
          <w:b w:val="false"/>
          <w:i w:val="false"/>
          <w:color w:val="ff0000"/>
          <w:sz w:val="28"/>
        </w:rPr>
        <w:t>      Ескерту. Күші жойылды - Ақмола облысы Есіл ауданы әкімдігінің 30.04.2015 № а-4/184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Г.Н.Сағнаевқа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Қ.Рахметов</w:t>
      </w:r>
    </w:p>
    <w:bookmarkStart w:name="z5" w:id="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Ақмола облысы 2014 жылғы</w:t>
      </w:r>
      <w:r>
        <w:br/>
      </w:r>
      <w:r>
        <w:rPr>
          <w:rFonts w:ascii="Times New Roman"/>
          <w:b w:val="false"/>
          <w:i w:val="false"/>
          <w:color w:val="000000"/>
          <w:sz w:val="28"/>
        </w:rPr>
        <w:t xml:space="preserve">
20 тамыздағы № а-8/319 </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1" w:id="4"/>
    <w:p>
      <w:pPr>
        <w:spacing w:after="0"/>
        <w:ind w:left="0"/>
        <w:jc w:val="both"/>
      </w:pPr>
      <w:r>
        <w:rPr>
          <w:rFonts w:ascii="Times New Roman"/>
          <w:b w:val="false"/>
          <w:i w:val="false"/>
          <w:color w:val="000000"/>
          <w:sz w:val="28"/>
        </w:rPr>
        <w:t xml:space="preserve">
Аудандық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мөлшерлемесін есептеу   </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7018"/>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722"/>
        <w:gridCol w:w="4013"/>
      </w:tblGrid>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кент (аудан орталығы)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село, кент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