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174f" w14:textId="02f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Сочинское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19 қыркүйектегі № а-9/398 қаулысы. Ақмола облысының Әділет департаментінде 2014 жылғы 17 қазанда № 4409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 Сочинское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А.В.Гавриленкоға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а-9/398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"Атбасар ауданы Сочинское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Сочинское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 Сочинское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 Сочинское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 Сочинское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 Сочинское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 Сочинское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Сочинское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"Атбасар ауданы Сочинское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020421, Қазақстан Республикасы, Ақмола облысы, Атбасар ауданы, Сочинское ауылы, Бейбітшілік көшесі,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"Атбасар ауданы Сочинское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"Атбасар ауданы Сочинское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 Сочинское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 Сочинское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 Сочинское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"Атбасар ауданы Сочинское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"Атбасар ауданы Сочинское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"Атбасар ауданы Сочинское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"Атбасар ауданы Сочинское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 Сочинское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істерді қарауға және ауыл аумағында жасалған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 Сочинское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"Атбасар ауданы Сочинское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"Атбасар ауданы Сочинское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"Атбасар ауданы Сочинское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 Сочинское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