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1be" w14:textId="3160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 тамыздағы № а-8/328 қаулысы. Ақмола облысының Әділет департаментінде 2014 жылғы 14 тамызда № 4314 болып тіркелді. Күші жойылды - Ақмола облысы Атбасар ауданы әкімдігінің 2015 жылғы 29 мамырдағы № а-5/166 қаулысымен</w:t>
      </w:r>
    </w:p>
    <w:p>
      <w:pPr>
        <w:spacing w:after="0"/>
        <w:ind w:left="0"/>
        <w:jc w:val="both"/>
      </w:pPr>
      <w:r>
        <w:rPr>
          <w:rFonts w:ascii="Times New Roman"/>
          <w:b w:val="false"/>
          <w:i w:val="false"/>
          <w:color w:val="ff0000"/>
          <w:sz w:val="28"/>
        </w:rPr>
        <w:t xml:space="preserve">      Ескерту. Күші жойылды - Ақмола облысы Атбасар ауданы әкімдігінің 29.05.2015 </w:t>
      </w:r>
      <w:r>
        <w:rPr>
          <w:rFonts w:ascii="Times New Roman"/>
          <w:b w:val="false"/>
          <w:i w:val="false"/>
          <w:color w:val="ff0000"/>
          <w:sz w:val="28"/>
        </w:rPr>
        <w:t>№ а-5/166</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қадағалайтын мәселелері бойынша Атбасар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Атбасар ауданының әкімі                    А.Никишов</w:t>
      </w:r>
    </w:p>
    <w:bookmarkStart w:name="z5"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2014 жылғы 01.08. № а-8/328</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мөлшермесі;</w:t>
      </w:r>
      <w:r>
        <w:br/>
      </w:r>
      <w:r>
        <w:rPr>
          <w:rFonts w:ascii="Times New Roman"/>
          <w:b w:val="false"/>
          <w:i w:val="false"/>
          <w:color w:val="000000"/>
          <w:sz w:val="28"/>
        </w:rPr>
        <w:t>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1" w:id="4"/>
    <w:p>
      <w:pPr>
        <w:spacing w:after="0"/>
        <w:ind w:left="0"/>
        <w:jc w:val="both"/>
      </w:pPr>
      <w:r>
        <w:rPr>
          <w:rFonts w:ascii="Times New Roman"/>
          <w:b w:val="false"/>
          <w:i w:val="false"/>
          <w:color w:val="000000"/>
          <w:sz w:val="28"/>
        </w:rPr>
        <w:t xml:space="preserve">
Аудандық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мөлшермесін есептеу  </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7019"/>
      </w:tblGrid>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мөлшерме</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722"/>
        <w:gridCol w:w="4013"/>
      </w:tblGrid>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 құрылғылары (стадиондар, спорт залдары)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(аудан орталығы)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село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