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6e4f" w14:textId="14a6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2014 жылғы 27 наурыздағы № 5С-26/14 шешімі. Ақмола облысының Әділет департаментінде 2014 жылғы 4 мамырда № 4150 болып тіркелді. Күші жойылды - Ақмола облысы Степногорск қалалық мәслихатының 2016 жылғы 30 маусымдағы № 6С-6/13 шешімімен</w:t>
      </w:r>
    </w:p>
    <w:p>
      <w:pPr>
        <w:spacing w:after="0"/>
        <w:ind w:left="0"/>
        <w:jc w:val="left"/>
      </w:pPr>
      <w:r>
        <w:rPr>
          <w:rFonts w:ascii="Times New Roman"/>
          <w:b w:val="false"/>
          <w:i w:val="false"/>
          <w:color w:val="ff0000"/>
          <w:sz w:val="28"/>
        </w:rPr>
        <w:t xml:space="preserve">      Ескерту. Күші жойылды - Ақмола облысы Степногорск қалалық мәслихатының 30.06.2016 </w:t>
      </w:r>
      <w:r>
        <w:rPr>
          <w:rFonts w:ascii="Times New Roman"/>
          <w:b w:val="false"/>
          <w:i w:val="false"/>
          <w:color w:val="ff0000"/>
          <w:sz w:val="28"/>
        </w:rPr>
        <w:t>№ 6С-6/13</w:t>
      </w:r>
      <w:r>
        <w:rPr>
          <w:rFonts w:ascii="Times New Roman"/>
          <w:b w:val="false"/>
          <w:i w:val="false"/>
          <w:color w:val="ff0000"/>
          <w:sz w:val="28"/>
        </w:rPr>
        <w:t xml:space="preserve">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Степногорск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С.Алпысбаев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2014 жылғы 27 наурыздағы № 5С-26/14</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Степногорск қалалық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Степногорск қалалық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 (жергілікті өкілді орган) Степногорск қаласының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жергілікті өкілді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мәслихат депутаттарын сайлау нәтижесі туралы хабарлайды және мәслихат сессиясының төрағасы сайланғанға дейін сессияны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кемінде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ерекше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дейін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Облыстық маңызы бар қала мәслихаттың сессиясына облыстық маңызы бар қаланың, ауыл, кент және ауылды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Облыстық маңызы бар қаланың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есепті мәслихат екі рет бекітпеген жағдайда, мәслихат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 депутаттарының жалпы санының кемiнде бестен бiрiнiң бастамасы бойынша мәслихат әкiмге сенiмсiздiк бiлдiру туралы мәселе қоя алады.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сонымен қатар бұқаралық ақпарат құралында таныстырады.</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Мәслихаттың кезекті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 де 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59"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құрады.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бұқаралық тыңдаулар өткізе алады.</w:t>
      </w:r>
      <w:r>
        <w:br/>
      </w:r>
      <w:r>
        <w:rPr>
          <w:rFonts w:ascii="Times New Roman"/>
          <w:b w:val="false"/>
          <w:i w:val="false"/>
          <w:color w:val="000000"/>
          <w:sz w:val="28"/>
        </w:rPr>
        <w:t>
      Бұқаралық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комиссияның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Бұқаралық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бұқаралық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Бұқаралық тыңдауларға тұрақты комиссия мүдделі мемлекеттік органдардың, қоғамдастықтың, бұқаралық ақпарат құралдарының өкілдерін шақырады. Бұқаралық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тартылуы мүмкін.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69"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 тек бір ғана депутаттық фракцияда болады.</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сұрауы мүмкін.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қызметінде саяси партияның басшы органдарымен өзара іс-қимыл жасайды, сондай-ақ саяси партияның қоғамдық қабылдау бөлімінің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4"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1) бір 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59. Бұқаралық ақпарат құралдарында, баспасөз конференциясында, митингтерде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қолдануы тиіс.</w:t>
      </w:r>
      <w:r>
        <w:br/>
      </w:r>
      <w:r>
        <w:rPr>
          <w:rFonts w:ascii="Times New Roman"/>
          <w:b w:val="false"/>
          <w:i w:val="false"/>
          <w:color w:val="000000"/>
          <w:sz w:val="28"/>
        </w:rPr>
        <w:t>
      </w:t>
      </w:r>
      <w:r>
        <w:rPr>
          <w:rFonts w:ascii="Times New Roman"/>
          <w:b w:val="false"/>
          <w:i w:val="false"/>
          <w:color w:val="000000"/>
          <w:sz w:val="28"/>
        </w:rPr>
        <w:t>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61.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депутат өзіне депутаттық өкілеттігін жүзеге асыру барысында мәлім болған мәліметтерді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1"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